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Eleven Analyst Visual Guide and Milestones</w:t>
      </w:r>
    </w:p>
    <w:p>
      <w:r>
        <w:t>Developer handoff  |  Version 0.6  |  October 25 2026</w:t>
      </w:r>
    </w:p>
    <w:p>
      <w:r>
        <w:t>Build an interactive glossary that teaches players what each spin label means. A player selects a spin type, watches a marked ball rotate, adjusts spin independently of forward speed, and reads a short explanation. The viewer can first be developed using synthetic inputs. Product milestone one combines this viewer with evidence of a player difficulty, practice instructions, and a validated ball-machine key. The viewer alone is not completion of milestone one.</w:t>
      </w:r>
    </w:p>
    <w:p>
      <w:r>
        <w:rPr>
          <w:b/>
        </w:rPr>
        <w:t>Implementation checkpoint - 25 October 2026, version 0.6. The glossary, catalogue, broad first-return evidence, generic key-delivery workflow and separate Hero importer are implemented. A source-revision-scoped assisted serve review and synthetic receiver-frame geometry tests now support milestone one. Real long/backhand placement and spin validation remain pending: no replay/video is available and provider coordinate axes, event timing and bounce reconstruction are unvalidated. Category attempts/errors and representative-feed fidelity remain unknown. See section 17; sections 12-16 retain earlier dated checkpoints.</w:t>
      </w:r>
    </w:p>
    <w:p>
      <w:pPr>
        <w:pStyle w:val="Heading1"/>
      </w:pPr>
      <w:r>
        <w:t>1 Scope and deliverable</w:t>
      </w:r>
    </w:p>
    <w:p>
      <w:r>
        <w:t>Deliver a reusable spin viewer embedded in a glossary page, with a preset selector, accessible controls, text explanations, and a documented input contract. Reuse the app’s existing framework and rendering stack where suitable. A 3D renderer is preferred for an unambiguous view of mixed spin; the implementation library is a team choice.</w:t>
      </w:r>
    </w:p>
    <w:tbl>
      <w:tblPr>
        <w:tblW w:type="auto" w:w="0"/>
        <w:tblLayout w:type="fixed"/>
        <w:tblLook w:firstColumn="1" w:firstRow="1" w:lastColumn="0" w:lastRow="0" w:noHBand="0" w:noVBand="1" w:val="04A0"/>
      </w:tblPr>
      <w:tblGrid>
        <w:gridCol w:w="5040"/>
        <w:gridCol w:w="5040"/>
      </w:tblGrid>
      <w:tr>
        <w:trPr>
          <w:cantSplit/>
          <w:tblHeader/>
        </w:trPr>
        <w:tc>
          <w:tcPr>
            <w:tcW w:type="dxa" w:w="5040"/>
            <w:shd w:fill="DCE6F1"/>
            <w:tcBorders>
              <w:top w:val="single" w:sz="4" w:color="D9D9D9"/>
              <w:left w:val="single" w:sz="4" w:color="D9D9D9"/>
              <w:bottom w:val="single" w:sz="4" w:color="D9D9D9"/>
              <w:right w:val="single" w:sz="4" w:color="D9D9D9"/>
            </w:tcBorders>
          </w:tcPr>
          <w:p>
            <w:pPr>
              <w:spacing w:before="80" w:after="80"/>
            </w:pPr>
            <w:r>
              <w:rPr>
                <w:b/>
                <w:sz w:val="20"/>
              </w:rPr>
              <w:t>Initial viewer component</w:t>
            </w:r>
          </w:p>
        </w:tc>
        <w:tc>
          <w:tcPr>
            <w:tcW w:type="dxa" w:w="5040"/>
            <w:shd w:fill="DCE6F1"/>
            <w:tcBorders>
              <w:top w:val="single" w:sz="4" w:color="D9D9D9"/>
              <w:left w:val="single" w:sz="4" w:color="D9D9D9"/>
              <w:bottom w:val="single" w:sz="4" w:color="D9D9D9"/>
              <w:right w:val="single" w:sz="4" w:color="D9D9D9"/>
            </w:tcBorders>
          </w:tcPr>
          <w:p>
            <w:pPr>
              <w:spacing w:before="80" w:after="80"/>
            </w:pPr>
            <w:r>
              <w:rPr>
                <w:b/>
                <w:sz w:val="20"/>
              </w:rPr>
              <w:t>Outside viewer component</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Topspin, backspin, both sidespin directions, mixed side-top and side-back spin, and negligible spin.</w:t>
            </w:r>
          </w:p>
        </w:tc>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Automatic shot classification and direct log synchronization.</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Marked sphere, axis indicator, rotation arrow, travel-direction arrow, and fixed camera presets.</w:t>
            </w:r>
          </w:p>
        </w:tc>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Calibrated flight physics, bounce prediction, and serve reconstruction.</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Independent spin and travel-speed controls, pause, reset, and slow motion.</w:t>
            </w:r>
          </w:p>
        </w:tc>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Match heatmaps, practice code exports, and improvement dashboards.</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Mobile and desktop layouts; reduced-motion and static alternatives.</w:t>
            </w:r>
          </w:p>
        </w:tc>
        <w:tc>
          <w:tcPr>
            <w:tcW w:type="dxa" w:w="5040"/>
            <w:shd w:fill="FFFFFF"/>
            <w:tcBorders>
              <w:top w:val="single" w:sz="4" w:color="D9D9D9"/>
              <w:left w:val="single" w:sz="4" w:color="D9D9D9"/>
              <w:bottom w:val="single" w:sz="4" w:color="D9D9D9"/>
              <w:right w:val="single" w:sz="4" w:color="D9D9D9"/>
            </w:tcBorders>
          </w:tcPr>
          <w:p>
            <w:pPr>
              <w:spacing w:before="80" w:after="80"/>
            </w:pPr>
            <w:r>
              <w:rPr>
                <w:b w:val="0"/>
                <w:sz w:val="20"/>
              </w:rPr>
              <w:t>Technique-motion animations such as pendulum or tomahawk serves.</w:t>
            </w:r>
          </w:p>
        </w:tc>
      </w:tr>
    </w:tbl>
    <w:p>
      <w:pPr>
        <w:spacing w:after="0"/>
      </w:pPr>
    </w:p>
    <w:p>
      <w:pPr>
        <w:pStyle w:val="Heading1"/>
      </w:pPr>
      <w:r>
        <w:t>2 Player interaction</w:t>
      </w:r>
    </w:p>
    <w:p>
      <w:r>
        <w:t>On first load, show a paused topspin example with a visible Play button. The player chooses a preset, starts the animation, changes spin strength, then switches camera views to inspect the axis. Changing spin must not silently change ball speed or placement. Reset restores the selected preset and its camera.</w:t>
      </w:r>
    </w:p>
    <w:p>
      <w:r>
        <w:t>Display a short sentence such as “Topspin: the top surface rotates in the direction of travel.” For mixed spin, show both components in plain language. Label every example “Illustrative”; the guide is not a replay of a measured shot.</w:t>
      </w:r>
    </w:p>
    <w:p>
      <w:pPr>
        <w:pStyle w:val="Heading1"/>
      </w:pPr>
      <w:r>
        <w:t>3 Screen layout</w:t>
      </w:r>
    </w:p>
    <w:p>
      <w:r>
        <w:t>Desktop: preset selector above the viewer; explanation and controls beside or below it. Mobile: viewer first, then preset selector, explanation, and stacked controls. Keep the spin name, receiver orientation, Play or Pause, and Reset visible without navigating to another screen.</w:t>
      </w:r>
    </w:p>
    <w:p>
      <w:r>
        <w:t>Viewer elements: contrasting ball markings, faint table or ground reference, labeled receiver and opponent ends, travel arrow, rotation axis, and curved rotation arrow. Include a small orientation legend. Do not rely on ball color alone to convey direction.</w:t>
      </w:r>
    </w:p>
    <w:p>
      <w:pPr>
        <w:pStyle w:val="Heading1"/>
        <w:pageBreakBefore/>
      </w:pPr>
      <w:r>
        <w:t>4 Coordinate and direction contract</w:t>
      </w:r>
    </w:p>
    <w:p>
      <w:r>
        <w:t>Use a documented right-handed visualization frame: +X points to the receiver’s right, +Y points upward, and +Z points from the opponent toward the receiver. The receiver faces −Z. The default incoming ball travels along +Z. World coordinates from future logs must be explicitly converted into this frame.</w:t>
      </w:r>
    </w:p>
    <w:tbl>
      <w:tblPr>
        <w:tblW w:type="auto" w:w="0"/>
        <w:tblLayout w:type="fixed"/>
        <w:tblLook w:firstColumn="1" w:firstRow="1" w:lastColumn="0" w:lastRow="0" w:noHBand="0" w:noVBand="1" w:val="04A0"/>
      </w:tblPr>
      <w:tblGrid>
        <w:gridCol w:w="4464"/>
        <w:gridCol w:w="5616"/>
      </w:tblGrid>
      <w:tr>
        <w:trPr>
          <w:cantSplit/>
          <w:tblHeader/>
        </w:trPr>
        <w:tc>
          <w:tcPr>
            <w:tcW w:type="dxa" w:w="4464"/>
            <w:shd w:fill="DCE6F1"/>
            <w:tcBorders>
              <w:top w:val="single" w:sz="4" w:color="D9D9D9"/>
              <w:left w:val="single" w:sz="4" w:color="D9D9D9"/>
              <w:bottom w:val="single" w:sz="4" w:color="D9D9D9"/>
              <w:right w:val="single" w:sz="4" w:color="D9D9D9"/>
            </w:tcBorders>
          </w:tcPr>
          <w:p>
            <w:pPr>
              <w:spacing w:before="80" w:after="80"/>
            </w:pPr>
            <w:r>
              <w:rPr>
                <w:b/>
                <w:sz w:val="20"/>
              </w:rPr>
              <w:t>Preset</w:t>
            </w:r>
          </w:p>
        </w:tc>
        <w:tc>
          <w:tcPr>
            <w:tcW w:type="dxa" w:w="5616"/>
            <w:shd w:fill="DCE6F1"/>
            <w:tcBorders>
              <w:top w:val="single" w:sz="4" w:color="D9D9D9"/>
              <w:left w:val="single" w:sz="4" w:color="D9D9D9"/>
              <w:bottom w:val="single" w:sz="4" w:color="D9D9D9"/>
              <w:right w:val="single" w:sz="4" w:color="D9D9D9"/>
            </w:tcBorders>
          </w:tcPr>
          <w:p>
            <w:pPr>
              <w:spacing w:before="80" w:after="80"/>
            </w:pPr>
            <w:r>
              <w:rPr>
                <w:b/>
                <w:sz w:val="20"/>
              </w:rPr>
              <w:t>Angular velocity in viewer frame</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Topspin</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Positive X component; Y and Z zero.</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Backspin</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Negative X component; Y and Z zero.</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Clockwise sidespin viewed from above</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Negative Y component; X and Z zero.</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Counterclockwise sidespin viewed from above</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Positive Y component; X and Z zero.</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Side topspin</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Positive X plus the selected signed Y component.</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Side backspin</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Negative X plus the selected signed Y component.</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Negligible spin</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Zero angular velocity in the synthetic example; no axis-direction claim.</w:t>
            </w:r>
          </w:p>
        </w:tc>
      </w:tr>
      <w:tr>
        <w:trPr>
          <w:cantSplit/>
        </w:trPr>
        <w:tc>
          <w:tcPr>
            <w:tcW w:type="dxa" w:w="4464"/>
            <w:shd w:fill="FFFFFF"/>
            <w:tcBorders>
              <w:top w:val="single" w:sz="4" w:color="D9D9D9"/>
              <w:left w:val="single" w:sz="4" w:color="D9D9D9"/>
              <w:bottom w:val="single" w:sz="4" w:color="D9D9D9"/>
              <w:right w:val="single" w:sz="4" w:color="D9D9D9"/>
            </w:tcBorders>
          </w:tcPr>
          <w:p>
            <w:pPr>
              <w:spacing w:before="80" w:after="80"/>
            </w:pPr>
            <w:r>
              <w:rPr>
                <w:b w:val="0"/>
                <w:sz w:val="20"/>
              </w:rPr>
              <w:t>Axial rotation in advanced mode</w:t>
            </w:r>
          </w:p>
        </w:tc>
        <w:tc>
          <w:tcPr>
            <w:tcW w:type="dxa" w:w="5616"/>
            <w:shd w:fill="FFFFFF"/>
            <w:tcBorders>
              <w:top w:val="single" w:sz="4" w:color="D9D9D9"/>
              <w:left w:val="single" w:sz="4" w:color="D9D9D9"/>
              <w:bottom w:val="single" w:sz="4" w:color="D9D9D9"/>
              <w:right w:val="single" w:sz="4" w:color="D9D9D9"/>
            </w:tcBorders>
          </w:tcPr>
          <w:p>
            <w:pPr>
              <w:spacing w:before="80" w:after="80"/>
            </w:pPr>
            <w:r>
              <w:rPr>
                <w:b w:val="0"/>
                <w:sz w:val="20"/>
              </w:rPr>
              <w:t>Rotation about the travel direction; preserve as a third component.</w:t>
            </w:r>
          </w:p>
        </w:tc>
      </w:tr>
    </w:tbl>
    <w:p>
      <w:pPr>
        <w:spacing w:after="0"/>
      </w:pPr>
    </w:p>
    <w:p>
      <w:r>
        <w:t>Confirmed product naming: use clockwise or counterclockwise viewed from above as the primary sidespin labels. Do not impose the proposed left/right sidespin synonyms. In the documented right-handed synthetic frame, overhead-clockwise is -Y and counterclockwise is +Y. This does not establish a conversion from Eleven log coordinates or machine sliders.</w:t>
      </w:r>
    </w:p>
    <w:p>
      <w:r>
        <w:t>Keep the underlying spin vector unchanged when the camera moves. Changing from receiver view to overhead view must not reverse the preset name or the physical rotation. Treat camera controls and player handedness as independent from the spin vector.</w:t>
      </w:r>
    </w:p>
    <w:p>
      <w:pPr>
        <w:pStyle w:val="Heading1"/>
      </w:pPr>
      <w:r>
        <w:t>5 Animation behavior</w:t>
      </w:r>
    </w:p>
    <w:p>
      <w:r>
        <w:t>Represent rotation using a normalized quaternion or equivalent stable rotation method. Integrate angular velocity using elapsed time, not frame count. In this frame, positive angular velocity follows the right-hand rule. Use a fixed timestep with interpolation, or another demonstrably frame-rate-independent implementation.</w:t>
      </w:r>
    </w:p>
    <w:p>
      <w:r>
        <w:t>Use an asymmetric pattern with a stripe and distinct dots so rotation remains recognizable. The axis line aligns with the angular velocity vector; hide it when magnitude is zero. Arrow direction must match the surface motion. Test pure-axis presets before combined spin.</w:t>
      </w:r>
    </w:p>
    <w:p>
      <w:r>
        <w:t>In inspect mode, keep the ball centered and use the travel arrow to communicate direction. In optional straight-travel mode, translate the ball across a short path and reset with a clear loop transition. Do not add unvalidated spin-induced curvature or bounce effects.</w:t>
      </w:r>
    </w:p>
    <w:p>
      <w:pPr>
        <w:pStyle w:val="Heading1"/>
        <w:pageBreakBefore/>
      </w:pPr>
      <w:r>
        <w:t>6 Controls and input data</w:t>
      </w:r>
    </w:p>
    <w:tbl>
      <w:tblPr>
        <w:tblW w:type="auto" w:w="0"/>
        <w:tblLayout w:type="fixed"/>
        <w:tblLook w:firstColumn="1" w:firstRow="1" w:lastColumn="0" w:lastRow="0" w:noHBand="0" w:noVBand="1" w:val="04A0"/>
      </w:tblPr>
      <w:tblGrid>
        <w:gridCol w:w="2232"/>
        <w:gridCol w:w="7848"/>
      </w:tblGrid>
      <w:tr>
        <w:trPr>
          <w:cantSplit/>
          <w:tblHeader/>
        </w:trPr>
        <w:tc>
          <w:tcPr>
            <w:tcW w:type="dxa" w:w="2232"/>
            <w:shd w:fill="DCE6F1"/>
            <w:tcBorders>
              <w:top w:val="single" w:sz="4" w:color="D9D9D9"/>
              <w:left w:val="single" w:sz="4" w:color="D9D9D9"/>
              <w:bottom w:val="single" w:sz="4" w:color="D9D9D9"/>
              <w:right w:val="single" w:sz="4" w:color="D9D9D9"/>
            </w:tcBorders>
          </w:tcPr>
          <w:p>
            <w:pPr>
              <w:spacing w:before="80" w:after="80"/>
            </w:pPr>
            <w:r>
              <w:rPr>
                <w:b/>
                <w:sz w:val="20"/>
              </w:rPr>
              <w:t>Control</w:t>
            </w:r>
          </w:p>
        </w:tc>
        <w:tc>
          <w:tcPr>
            <w:tcW w:type="dxa" w:w="7848"/>
            <w:shd w:fill="DCE6F1"/>
            <w:tcBorders>
              <w:top w:val="single" w:sz="4" w:color="D9D9D9"/>
              <w:left w:val="single" w:sz="4" w:color="D9D9D9"/>
              <w:bottom w:val="single" w:sz="4" w:color="D9D9D9"/>
              <w:right w:val="single" w:sz="4" w:color="D9D9D9"/>
            </w:tcBorders>
          </w:tcPr>
          <w:p>
            <w:pPr>
              <w:spacing w:before="80" w:after="80"/>
            </w:pPr>
            <w:r>
              <w:rPr>
                <w:b/>
                <w:sz w:val="20"/>
              </w:rPr>
              <w:t>Required behavior</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Preset</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Select spin category; preserve an accessible text label.</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Spin rate</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Adjust angular speed independently; display rev/s and support rad/s internally. Conversion: rad/s = 2π × rev/s.</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Mixed spin balance</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Adjust side versus top/back components. Explain whether total magnitude is held constant; recommended default is constant total magnitude.</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Travel speed</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Separate m/s value; affects translation only in travel mode. Disable with explanation in inspect mode.</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Playback speed</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Affects displayed time, not the stored physical values. Show “slow motion” and the time scale.</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Camera</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Receiver, side, and overhead presets. Include Reset view.</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Visibility</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Toggle axis, rotation arrow, travel arrow, and orientation labels.</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before="80" w:after="80"/>
            </w:pPr>
            <w:r>
              <w:rPr>
                <w:b w:val="0"/>
                <w:sz w:val="20"/>
              </w:rPr>
              <w:t>Playback</w:t>
            </w:r>
          </w:p>
        </w:tc>
        <w:tc>
          <w:tcPr>
            <w:tcW w:type="dxa" w:w="7848"/>
            <w:shd w:fill="FFFFFF"/>
            <w:tcBorders>
              <w:top w:val="single" w:sz="4" w:color="D9D9D9"/>
              <w:left w:val="single" w:sz="4" w:color="D9D9D9"/>
              <w:bottom w:val="single" w:sz="4" w:color="D9D9D9"/>
              <w:right w:val="single" w:sz="4" w:color="D9D9D9"/>
            </w:tcBorders>
          </w:tcPr>
          <w:p>
            <w:pPr>
              <w:spacing w:before="80" w:after="80"/>
            </w:pPr>
            <w:r>
              <w:rPr>
                <w:b w:val="0"/>
                <w:sz w:val="20"/>
              </w:rPr>
              <w:t>Play, pause, and reset. Support keyboard operation and reduced motion.</w:t>
            </w:r>
          </w:p>
        </w:tc>
      </w:tr>
    </w:tbl>
    <w:p>
      <w:pPr>
        <w:spacing w:after="0"/>
      </w:pPr>
    </w:p>
    <w:p>
      <w:r>
        <w:t>Use conservative illustrative defaults that are easy to see. Slider limits are visualization settings, not the lexicon’s low, medium, and high thresholds. High spin rates can visually alias; slow playback and label the time scale rather than silently clamping the physical value.</w:t>
      </w:r>
    </w:p>
    <w:tbl>
      <w:tblPr>
        <w:tblW w:type="auto" w:w="0"/>
        <w:tblLayout w:type="fixed"/>
        <w:tblLook w:firstColumn="1" w:firstRow="1" w:lastColumn="0" w:lastRow="0" w:noHBand="0" w:noVBand="1" w:val="04A0"/>
      </w:tblPr>
      <w:tblGrid>
        <w:gridCol w:w="3528"/>
        <w:gridCol w:w="6552"/>
      </w:tblGrid>
      <w:tr>
        <w:trPr>
          <w:cantSplit/>
          <w:tblHeader/>
        </w:trPr>
        <w:tc>
          <w:tcPr>
            <w:tcW w:type="dxa" w:w="3528"/>
            <w:shd w:fill="DCE6F1"/>
            <w:tcBorders>
              <w:top w:val="single" w:sz="4" w:color="D9D9D9"/>
              <w:left w:val="single" w:sz="4" w:color="D9D9D9"/>
              <w:bottom w:val="single" w:sz="4" w:color="D9D9D9"/>
              <w:right w:val="single" w:sz="4" w:color="D9D9D9"/>
            </w:tcBorders>
          </w:tcPr>
          <w:p>
            <w:pPr>
              <w:spacing w:before="80" w:after="80"/>
            </w:pPr>
            <w:r>
              <w:rPr>
                <w:b/>
                <w:sz w:val="20"/>
              </w:rPr>
              <w:t>Input field</w:t>
            </w:r>
          </w:p>
        </w:tc>
        <w:tc>
          <w:tcPr>
            <w:tcW w:type="dxa" w:w="6552"/>
            <w:shd w:fill="DCE6F1"/>
            <w:tcBorders>
              <w:top w:val="single" w:sz="4" w:color="D9D9D9"/>
              <w:left w:val="single" w:sz="4" w:color="D9D9D9"/>
              <w:bottom w:val="single" w:sz="4" w:color="D9D9D9"/>
              <w:right w:val="single" w:sz="4" w:color="D9D9D9"/>
            </w:tcBorders>
          </w:tcPr>
          <w:p>
            <w:pPr>
              <w:spacing w:before="80" w:after="80"/>
            </w:pPr>
            <w:r>
              <w:rPr>
                <w:b/>
                <w:sz w:val="20"/>
              </w:rPr>
              <w:t>Meaning</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schemaVersion and conventionVersion</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Version the record format and coordinate conventions.</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sourceKind</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synthetic, observed, or derived. Viewer prototype uses synthetic.</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angularVelocityRadPerSec</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Finite x, y, z components in the declared frame.</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linearVelocityMPerSec</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Finite x, y, z components; independent of angular velocity.</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spinLabel and evidenceStatus</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Display label plus observed, derived, self-reported, or unknown where applicable.</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measurementEvent</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Synthetic example now; later identify after contact, before bounce, or other precise event.</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sourceReference and classifierVersion</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Optional future traceability to match, rally, event, and classification rule.</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before="80" w:after="80"/>
            </w:pPr>
            <w:r>
              <w:rPr>
                <w:b w:val="0"/>
                <w:sz w:val="20"/>
              </w:rPr>
              <w:t>viewState</w:t>
            </w:r>
          </w:p>
        </w:tc>
        <w:tc>
          <w:tcPr>
            <w:tcW w:type="dxa" w:w="6552"/>
            <w:shd w:fill="FFFFFF"/>
            <w:tcBorders>
              <w:top w:val="single" w:sz="4" w:color="D9D9D9"/>
              <w:left w:val="single" w:sz="4" w:color="D9D9D9"/>
              <w:bottom w:val="single" w:sz="4" w:color="D9D9D9"/>
              <w:right w:val="single" w:sz="4" w:color="D9D9D9"/>
            </w:tcBorders>
          </w:tcPr>
          <w:p>
            <w:pPr>
              <w:spacing w:before="80" w:after="80"/>
            </w:pPr>
            <w:r>
              <w:rPr>
                <w:b w:val="0"/>
                <w:sz w:val="20"/>
              </w:rPr>
              <w:t>Camera, playback time scale, overlays, and playback status; keep separate from shot data.</w:t>
            </w:r>
          </w:p>
        </w:tc>
      </w:tr>
    </w:tbl>
    <w:p>
      <w:pPr>
        <w:spacing w:after="0"/>
      </w:pPr>
    </w:p>
    <w:p>
      <w:r>
        <w:t>Validate units and finite numeric values at the input boundary. Missing spin is unknown, not zero. Show an explanatory empty state for unknown spin; show a static ball for a valid zero vector. No live network connection is needed for the first release.</w:t>
      </w:r>
    </w:p>
    <w:p>
      <w:pPr>
        <w:pStyle w:val="Heading1"/>
        <w:pageBreakBefore/>
      </w:pPr>
      <w:r>
        <w:t>7 Acceptance criteria</w:t>
      </w:r>
    </w:p>
    <w:tbl>
      <w:tblPr>
        <w:tblW w:type="auto" w:w="0"/>
        <w:tblLayout w:type="fixed"/>
        <w:tblLook w:firstColumn="1" w:firstRow="1" w:lastColumn="0" w:lastRow="0" w:noHBand="0" w:noVBand="1" w:val="04A0"/>
      </w:tblPr>
      <w:tblGrid>
        <w:gridCol w:w="2880"/>
        <w:gridCol w:w="7200"/>
      </w:tblGrid>
      <w:tr>
        <w:trPr>
          <w:cantSplit/>
          <w:tblHeader/>
        </w:trPr>
        <w:tc>
          <w:tcPr>
            <w:tcW w:type="dxa" w:w="2880"/>
            <w:shd w:fill="DCE6F1"/>
            <w:tcBorders>
              <w:top w:val="single" w:sz="4" w:color="D9D9D9"/>
              <w:left w:val="single" w:sz="4" w:color="D9D9D9"/>
              <w:bottom w:val="single" w:sz="4" w:color="D9D9D9"/>
              <w:right w:val="single" w:sz="4" w:color="D9D9D9"/>
            </w:tcBorders>
          </w:tcPr>
          <w:p>
            <w:pPr>
              <w:spacing w:before="80" w:after="80"/>
            </w:pPr>
            <w:r>
              <w:rPr>
                <w:b/>
                <w:sz w:val="20"/>
              </w:rPr>
              <w:t>Test</w:t>
            </w:r>
          </w:p>
        </w:tc>
        <w:tc>
          <w:tcPr>
            <w:tcW w:type="dxa" w:w="7200"/>
            <w:shd w:fill="DCE6F1"/>
            <w:tcBorders>
              <w:top w:val="single" w:sz="4" w:color="D9D9D9"/>
              <w:left w:val="single" w:sz="4" w:color="D9D9D9"/>
              <w:bottom w:val="single" w:sz="4" w:color="D9D9D9"/>
              <w:right w:val="single" w:sz="4" w:color="D9D9D9"/>
            </w:tcBorders>
          </w:tcPr>
          <w:p>
            <w:pPr>
              <w:spacing w:before="80" w:after="80"/>
            </w:pPr>
            <w:r>
              <w:rPr>
                <w:b/>
                <w:sz w:val="20"/>
              </w:rPr>
              <w:t>Pass condition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Pure topspin and backspin</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For default incoming travel along +Z, top surface moves with travel for topspin and against travel for backspin.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Sidespin signs</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Overhead clockwise and counterclockwise motion match the labeled presets and declared Y signs.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Mixed spin</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Axis tilts continuously with component balance; surface motion matches the combined vector.</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Independent controls</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Changing spin leaves travel speed unchanged; changing travel speed leaves spin unchanged.</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Camera invariance</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Camera changes alter only the view, not physical state or labels.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Timing</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Equivalent simulated duration at different frame rates yields equivalent orientation within a documented numerical tolerance.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Zero and missing values</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Zero produces a nonrotating example; missing or invalid values produce an unknown or error state without misleading arrows.</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Playback scaling</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Half-speed playback takes twice as long for the same physical motion; measured spin values remain unchanged.</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Accessibility</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All controls work by keyboard, have screen-reader names, and respect reduced motion. Text explains the selected spin without animation.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before="80" w:after="80"/>
            </w:pPr>
            <w:r>
              <w:rPr>
                <w:b w:val="0"/>
                <w:sz w:val="20"/>
              </w:rPr>
              <w:t>Responsive layout</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b w:val="0"/>
                <w:sz w:val="20"/>
              </w:rPr>
              <w:t>Controls remain usable on a narrow phone viewport and desktop; no horizontal overflow or obscured labels.</w:t>
            </w:r>
          </w:p>
        </w:tc>
      </w:tr>
    </w:tbl>
    <w:p>
      <w:pPr>
        <w:spacing w:after="0"/>
      </w:pPr>
    </w:p>
    <w:p>
      <w:pPr>
        <w:pStyle w:val="Heading1"/>
      </w:pPr>
      <w:r>
        <w:t>8 Build and review sequence</w:t>
      </w:r>
    </w:p>
    <w:p>
      <w:r>
        <w:t>First, agree on axis conventions and preset signs with a developer and a knowledgeable player. Second, implement the sphere and pure-axis presets. Third, add mixed spin, controls, camera presets, and accessible states. Fourth, validate the acceptance criteria and review on representative phone and desktop devices. Finally, document the component input contract and embed the viewer in the glossary.</w:t>
      </w:r>
    </w:p>
    <w:p>
      <w:r>
        <w:t>Viewer component definition of done: the glossary is usable without logs; all listed presets and controls work; the direction tests pass; coordinate conventions are documented; illustrative status is visible; and the team provides a short demonstration plus automated math tests and manual visual review results.</w:t>
      </w:r>
    </w:p>
    <w:p>
      <w:pPr>
        <w:pStyle w:val="Heading1"/>
      </w:pPr>
      <w:r>
        <w:t>9 Later visualization phases</w:t>
      </w:r>
    </w:p>
    <w:p>
      <w:r>
        <w:t>Receiver-view placement map: plot observed bounces, filter by spin, speed, and length, and show attempts alongside return error rates. Keep inferred serve length and uncertain labels visible. A backhand target requires an explicit handedness and position convention.</w:t>
      </w:r>
    </w:p>
    <w:p>
      <w:r>
        <w:t>Practice comparison: show the original shot beside a generated variation and highlight changed parameters. Only claim physical fidelity after export and trajectory validation. Feed both views from the same lexicon and coordinate contract.</w:t>
      </w:r>
    </w:p>
    <w:p>
      <w:pPr>
        <w:pStyle w:val="Heading1"/>
        <w:pageBreakBefore/>
      </w:pPr>
      <w:r>
        <w:t>10 Product milestones</w:t>
      </w:r>
    </w:p>
    <w:p>
      <w:r>
        <w:t>Milestone one is the smallest complete player-training experience. The viewer work described above is a component of that milestone. The exclusions in the viewer scope do not exclude analysis or export from the product milestone.</w:t>
      </w:r>
    </w:p>
    <w:p>
      <w:pPr>
        <w:pStyle w:val="Heading1"/>
      </w:pPr>
      <w:r>
        <w:t>Milestone one Explain and practice one shot category</w:t>
      </w:r>
    </w:p>
    <w:p>
      <w:pPr>
        <w:keepNext/>
      </w:pPr>
      <w:r>
        <w:rPr>
          <w:b/>
        </w:rPr>
        <w:t xml:space="preserve">Status as of 25 October 2026: PARTIAL - not complete; evidence acquisition and inspection have advanced. One real Hero match export (181 records: 138 Hits and 43 Tosses; 41 fields; 43 provider point groups) is preserved in a separate revisioned archive and dashboard view. Provider shot/spin labels and candidate machine fields are now available for calibration. They do not yet prove long sidespin serves to the backhand, first-return error rates or faithful reproduction. The existing glossary, catalogue, broad local receiving pilot and previously usable key 54334.340 remain foundations. The original completion gate below is unchanged.</w:t>
      </w:r>
      <w:r>
        <w:t xml:space="preserve"/>
      </w:r>
    </w:p>
    <w:p>
      <w:r>
        <w:t>For the initial use case, show long sidespin serves toward the player’s backhand. Present the category description, a clear visual, the available evidence of return difficulty, and representative examples. Include attempts and errors, the number of matches, and classification uncertainty. Explain what the player should practice and how to judge a successful return.</w:t>
      </w:r>
    </w:p>
    <w:p>
      <w:r>
        <w:t>Provide a downloadable practice profile and/or copyable ball-machine key in the format Eleven actually accepts. The exact export and key-generation mechanism must be verified; do not assume a key is simply a downloadable file. The initial key reproduces one validated representative shot from the selected category. A category is a range of shots, so do not claim one example reproduces all of it.</w:t>
      </w:r>
    </w:p>
    <w:p>
      <w:r>
        <w:t>Practice instructions specify the objective, initial repeatable setup, return target, and a suggested session structure. Label suggested targets as practice goals rather than proven personalized thresholds. Avoid diagnosing racket technique from ball data alone. Where player evidence is insufficient, offer category practice with an explicit insufficient-data label rather than asserting a weakness.</w:t>
      </w:r>
    </w:p>
    <w:p>
      <w:r>
        <w:t>Completion gate: a player can understand the finding, obtain the key or compatible profile, load it in Eleven, and practice the intended shot. Validate spin direction, speed, bounce placement, and length against agreed tolerances. Manual log upload is acceptable for this milestone; automatic synchronization is not required. Live export compatibility and suitable shot evidence are blocking dependencies.</w:t>
      </w:r>
    </w:p>
    <w:p>
      <w:pPr>
        <w:pStyle w:val="Heading1"/>
      </w:pPr>
      <w:r>
        <w:t>Milestone two Practice controlled variations</w:t>
      </w:r>
    </w:p>
    <w:p>
      <w:pPr>
        <w:keepNext/>
      </w:pPr>
      <w:r>
        <w:rPr>
          <w:b/>
        </w:rPr>
        <w:t xml:space="preserve">Status as of 24 October 2026: </w:t>
      </w:r>
      <w:r>
        <w:t xml:space="preserve">PARTIAL. Generic controlled variation, two-location feeds and staged packages exist; later stages start inactive. Category-preserving spin, speed and placement variations have not been validated in-game. Original-versus-variation comparison is not yet implemented.</w:t>
      </w:r>
    </w:p>
    <w:p>
      <w:r>
        <w:t>Generate a small set of validated variations around the representative shot. Let the player vary spin, speed, or placement one at a time, then mix examples. Preserve the intended category and show what changed. Completion requires in-game verification that variations remain usable and match their descriptions.</w:t>
      </w:r>
    </w:p>
    <w:p>
      <w:pPr>
        <w:pStyle w:val="Heading1"/>
      </w:pPr>
      <w:r>
        <w:t>Milestone three Prioritize individual training</w:t>
      </w:r>
    </w:p>
    <w:p>
      <w:pPr>
        <w:keepNext/>
      </w:pPr>
      <w:r>
        <w:rPr>
          <w:b/>
        </w:rPr>
        <w:t xml:space="preserve">Status as of 24 October 2026: </w:t>
      </w:r>
      <w:r>
        <w:t xml:space="preserve">SUBSTANTIAL FOUNDATION - not complete. Multi-match loss ranking, traceable examples, mode filters, opponent context and small-sample gates are operational. Ranking currently uses equally weighted observed lost-point counts, not confidence-weighted recoverable impact. Strengths, maintenance recommendations and validated shot-category priorities remain to be added.</w:t>
      </w:r>
    </w:p>
    <w:p>
      <w:r>
        <w:t>Analyze multiple matches, rank recurring weaknesses by frequency, impact, and confidence, and recommend a small set of training priorities. Include strengths and opponent context. Completion requires traceable evidence for each recommendation and explicit handling of small samples.</w:t>
      </w:r>
    </w:p>
    <w:p>
      <w:pPr>
        <w:pStyle w:val="Heading1"/>
      </w:pPr>
      <w:r>
        <w:t>Milestone four Measure progress and reduce effort</w:t>
      </w:r>
    </w:p>
    <w:p>
      <w:pPr>
        <w:keepNext/>
      </w:pPr>
      <w:r>
        <w:rPr>
          <w:b/>
        </w:rPr>
        <w:t xml:space="preserve">Status as of 24 October 2026: </w:t>
      </w:r>
      <w:r>
        <w:t xml:space="preserve">FOUNDATION ONLY. File/match deduplication and daily aggregate charts exist. Processing is a full rerun, not incremental synchronization. Practice-result tracking, comparable-category progress measurement and evidence-based recommendation adjustment are not yet implemented.</w:t>
      </w:r>
    </w:p>
    <w:p>
      <w:r>
        <w:t>Compare performance against comparable shot categories in later matches, track practice where evidence is available, and adjust recommendations. Add local synchronization with incremental processing and duplicate prevention after connection feasibility is established. Separate improved outcomes from claims that practice caused them.</w:t>
      </w:r>
    </w:p>
    <w:p>
      <w:r>
        <w:t>Sequencing: validate the export path and log classification early, while building the viewer in parallel within the development team. Do not estimate dates until those dependencies and team capacity are known.</w:t>
      </w:r>
    </w:p>
    <w:p>
      <w:pPr>
        <w:pStyle w:val="Heading1"/>
        <w:pageBreakBefore/>
      </w:pPr>
      <w:r>
        <w:t>11 Longer term product vision</w:t>
      </w:r>
    </w:p>
    <w:p>
      <w:pPr>
        <w:pStyle w:val="Heading1"/>
      </w:pPr>
      <w:r>
        <w:t>Milestone five Opponent and playing style preparation</w:t>
      </w:r>
    </w:p>
    <w:p>
      <w:pPr>
        <w:keepNext/>
      </w:pPr>
      <w:r>
        <w:rPr>
          <w:b/>
        </w:rPr>
        <w:t xml:space="preserve">Status as of 24 October 2026: </w:t>
      </w:r>
      <w:r>
        <w:t xml:space="preserve">PARTIAL. The current sample yields 19 qualifying opponent/return-context groups with missed-return and failed-landing counts and point links. These are not identified serve families or return-error rates. Full scouting, tendencies and sequence analysis remain open. Player-specific keys are withheld until reproduction is validated.</w:t>
      </w:r>
    </w:p>
    <w:p>
      <w:r>
        <w:t>Build scouting summaries from available matches: frequently used serves, placement tendencies, recurring sequences, and how the player responds. Recommend practice against patterns rather than promising an exact clone of an opponent. Show data recency, coverage, and confidence; do not generalize from a handful of matches.</w:t>
      </w:r>
    </w:p>
    <w:p>
      <w:pPr>
        <w:pStyle w:val="Heading1"/>
      </w:pPr>
      <w:r>
        <w:t>Milestone six Adaptive training plans</w:t>
      </w:r>
    </w:p>
    <w:p>
      <w:pPr>
        <w:keepNext/>
      </w:pPr>
      <w:r>
        <w:rPr>
          <w:b/>
        </w:rPr>
        <w:t xml:space="preserve">Status as of 24 October 2026: </w:t>
      </w:r>
      <w:r>
        <w:t xml:space="preserve">NOT STARTED as an adaptive workflow. Static practice volumes and progression suggestions exist, but weekly scheduling, player goals/time budgets, completed-session capture and adaptive difficulty do not.</w:t>
      </w:r>
    </w:p>
    <w:p>
      <w:r>
        <w:t>Create weekly plans based on player goals, available practice time, recent performance, and completed sessions. Adjust difficulty and variation when evidence supports progression. If practice outcomes are not logged, accept explicitly labeled self-reports and use later matches to evaluate transfer. Include strengths and maintenance work as well as weaknesses.</w:t>
      </w:r>
    </w:p>
    <w:p>
      <w:pPr>
        <w:pStyle w:val="Heading1"/>
      </w:pPr>
      <w:r>
        <w:t>Milestone seven Rally decisions and tactical learning</w:t>
      </w:r>
    </w:p>
    <w:p>
      <w:pPr>
        <w:keepNext/>
      </w:pPr>
      <w:r>
        <w:rPr>
          <w:b/>
        </w:rPr>
        <w:t xml:space="preserve">Status as of 24 October 2026: </w:t>
      </w:r>
      <w:r>
        <w:t xml:space="preserve">FOUNDATION ONLY. Point-contact inspection and a timed serve-plus-rally reference collection exist. They do not establish tactical advantage, evaluate shot choices, or reproduce a measured reactive sequence.</w:t>
      </w:r>
    </w:p>
    <w:p>
      <w:r>
        <w:t>Expand from isolated balls to serve-return-third-ball patterns and longer exchanges. Explain where a player loses advantage and compare possible placement or shot-selection choices. Sequence recreation depends on what the ball machine or future game integrations support; use instructional scenarios when exact replay is unavailable.</w:t>
      </w:r>
    </w:p>
    <w:p>
      <w:pPr>
        <w:pStyle w:val="Heading1"/>
      </w:pPr>
      <w:r>
        <w:t>Milestone eight Coach collaboration and learning resources</w:t>
      </w:r>
    </w:p>
    <w:p>
      <w:pPr>
        <w:keepNext/>
      </w:pPr>
      <w:r>
        <w:rPr>
          <w:b/>
        </w:rPr>
        <w:t xml:space="preserve">Status as of 24 October 2026: </w:t>
      </w:r>
      <w:r>
        <w:t xml:space="preserve">NOT STARTED. Local exports and evidence links are available, but coach access, annotations, label correction and consent-based collaboration workflows are not implemented.</w:t>
      </w:r>
    </w:p>
    <w:p>
      <w:r>
        <w:t>Let players share selected analyses with a coach, annotate examples, set goals, and attach reviewed technique lessons. Provide coach correction of labels and recommendations. Use consent-based access and keep coaching feedback distinct from automated observations.</w:t>
      </w:r>
    </w:p>
    <w:p>
      <w:pPr>
        <w:pStyle w:val="Heading1"/>
      </w:pPr>
      <w:r>
        <w:t>Milestone nine Research and advanced simulation</w:t>
      </w:r>
    </w:p>
    <w:p>
      <w:pPr>
        <w:keepNext/>
      </w:pPr>
      <w:r>
        <w:rPr>
          <w:b/>
        </w:rPr>
        <w:t xml:space="preserve">Status as of 24 October 2026: </w:t>
      </w:r>
      <w:r>
        <w:t xml:space="preserve">NOT STARTED as calibrated simulation. Raw ball telemetry and measured-coordinate plots are available; calibrated trajectory reconstruction and reliable paddle/body motion measurements are not.</w:t>
      </w:r>
    </w:p>
    <w:p>
      <w:r>
        <w:t>Explore validated shot reconstruction, scenario simulation, and movement analysis if reliable racket, body, or video data becomes available. Treat equipment comparisons as observational unless a controlled test supports stronger conclusions. An opponent simulation should reproduce measured tendencies with uncertainty, not claim to reproduce the person.</w:t>
      </w:r>
    </w:p>
    <w:p>
      <w:pPr>
        <w:pStyle w:val="Heading1"/>
      </w:pPr>
      <w:r>
        <w:t>Milestone ten A broader improvement platform</w:t>
      </w:r>
    </w:p>
    <w:p>
      <w:pPr>
        <w:keepNext/>
      </w:pPr>
      <w:r>
        <w:rPr>
          <w:b/>
        </w:rPr>
        <w:t xml:space="preserve">Status as of 24 October 2026: </w:t>
      </w:r>
      <w:r>
        <w:t xml:space="preserve">NOT STARTED. Public key delivery is an existing building block, not a curated training library, comparable-player benchmark system, conversational analyst product or live-game integration.</w:t>
      </w:r>
    </w:p>
    <w:p>
      <w:r>
        <w:t>Offer opt-in benchmarks against comparable players, shared training libraries, and validated drill contributions. Add personalized explanations through a conversational analyst that cites the underlying matches and measurements. Consider post-session or between-match assistance before any live integration; feasibility and applicable game rules require separate review.</w:t>
      </w:r>
    </w:p>
    <w:p>
      <w:pPr>
        <w:pStyle w:val="Heading1"/>
      </w:pPr>
      <w:r>
        <w:t>Product success measures</w:t>
      </w:r>
    </w:p>
    <w:p>
      <w:r>
        <w:t>Track whether players understand their priorities, successfully load practice, complete sessions, and improve against comparable shot categories in later matches. Also track recommendation corrections, uncertainty, and false weakness alerts. More features or higher Elo alone do not demonstrate better coaching.</w:t>
      </w:r>
    </w:p>
    <w:p>
      <w:r>
        <w:t>These milestones express a long-term vision, not committed delivery dates. Each expansion should preserve an evidence trail and pass its data-feasibility gate. Reorder later milestones after player testing; retain milestone one as the first complete training outcome.</w:t>
      </w:r>
    </w:p>
    <w:p>
      <w:pPr>
        <w:pStyle w:val="Heading1"/>
        <w:pageBreakBefore/>
      </w:pPr>
      <w:r>
        <w:t xml:space="preserve">12 Completed work and evidence</w:t>
      </w:r>
    </w:p>
    <w:p>
      <w:r>
        <w:t xml:space="preserve">This is the current implementation baseline, not a declaration that the broader product milestones are complete. Evidence comes from source code, persisted analysis, automated/browser checks and the player's explicitly identified in-game test.</w:t>
      </w:r>
    </w:p>
    <w:p>
      <w:pPr>
        <w:pStyle w:val="ListBullet"/>
      </w:pPr>
      <w:r>
        <w:rPr>
          <w:b/>
        </w:rPr>
        <w:t xml:space="preserve">Local analysis pipeline. </w:t>
      </w:r>
      <w:r>
        <w:t xml:space="preserve">Read-only log ingestion for DigitalByooki (player 1909208), local match snapshot parsing, SHA-256 file deduplication, stable match grouping, validated single-point score transitions and persistent SQLite/JSON outputs are implemented. Unsupported or missing records are surfaced rather than invented. References: analyst.py and telemetry.py.</w:t>
      </w:r>
    </w:p>
    <w:p>
      <w:pPr>
        <w:pStyle w:val="ListBullet"/>
      </w:pPr>
      <w:r>
        <w:rPr>
          <w:b/>
        </w:rPr>
        <w:t xml:space="preserve">Current sample. </w:t>
      </w:r>
      <w:r>
        <w:t xml:space="preserve">The persisted profile generated on 24 October 2026 contains 35 completed matches (4 wins, 31 losses), 4 incomplete matches and a 42.0% completed-match point-win rate. Loss analysis includes 1,644 observed point transitions and 943 observed losses. These are sample statistics, not a controlled skill assessment.</w:t>
      </w:r>
    </w:p>
    <w:p>
      <w:pPr>
        <w:pStyle w:val="ListBullet"/>
      </w:pPr>
      <w:r>
        <w:rPr>
          <w:b/>
        </w:rPr>
        <w:t xml:space="preserve">Loss-driven priorities. </w:t>
      </w:r>
      <w:r>
        <w:t xml:space="preserve">Observed losses are disjointly classified: 650 shot-landing failures, 153 missed rally returns, 86 own-serve legality faults, 47 missed serve returns, 5 returns with unresolved context and 2 contact-rule losses. Priority screening requires five losses across two matches; this is not a statistical-significance claim. Source examples, contact corroboration, mode and opponent-strength context are available. References: loss_analysis.py and output/profile.json.</w:t>
      </w:r>
    </w:p>
    <w:p>
      <w:pPr>
        <w:pStyle w:val="ListBullet"/>
      </w:pPr>
      <w:r>
        <w:rPr>
          <w:b/>
        </w:rPr>
        <w:t xml:space="preserve">Point and opponent evidence. </w:t>
      </w:r>
      <w:r>
        <w:t xml:space="preserve">Bounded attempts, hit ownership, incoming/outgoing ball states and collision provenance are retained. Raw units and unavailable paddle pose are explicit. Opponent opportunities include contacted returns that failed to land as well as missed returns; 19 groups currently qualify. Known serve/rally context requires supporting contacts without known gaps. Loss counts are not validated receiving-attempt rates.</w:t>
      </w:r>
    </w:p>
    <w:p>
      <w:pPr>
        <w:pStyle w:val="ListBullet"/>
      </w:pPr>
      <w:r>
        <w:rPr>
          <w:b/>
        </w:rPr>
        <w:t xml:space="preserve">Practice packages and eligibility. </w:t>
      </w:r>
      <w:r>
        <w:t xml:space="preserve">Four general return-plan packages are available in the all-match sample: landing consistency, rally reception, serve reception and an unknown-context baseline. Reference serve-return, rally and combined collections remain available. Serve feeds use a provenance-backed game-default serve seed, never a relabeled rally feed. Later variation stages start inactive. Own serves remain manual coaching. Eligibility is enforced in both dashboard and publisher. Reference: practice.py.</w:t>
      </w:r>
    </w:p>
    <w:p>
      <w:pPr>
        <w:pStyle w:val="ListBullet"/>
      </w:pPr>
      <w:r>
        <w:rPr>
          <w:b/>
        </w:rPr>
        <w:t xml:space="preserve">Working key delivery. </w:t>
      </w:r>
      <w:r>
        <w:t xml:space="preserve">An optional loopback server publishes sanitized settings through 11 Hero with explicit consent, exact cloud read-back matching, durable receipts and no automatic repeat upload after uncertainty. Key 54334.340 has a verified receipt for the earlier serve-returns collection; the player reported successfully generating, loading and using it on 24 October 2026. This confirms delivery/import/use of that package, not long-sidespin/backhand classification or spin/speed/placement fidelity. Existing receipts are preserved. References: cloud_publish.py, serve.py and the local publication journal.</w:t>
      </w:r>
    </w:p>
    <w:p>
      <w:pPr>
        <w:pStyle w:val="ListBullet"/>
      </w:pPr>
      <w:r>
        <w:rPr>
          <w:b/>
        </w:rPr>
        <w:t xml:space="preserve">Dashboard and graphics. </w:t>
      </w:r>
      <w:r>
        <w:t xml:space="preserve">The self-contained offline dashboard provides mode-filtered priorities, searchable matches, point inspection, key workflows and opponent loss breakdowns. Shot graphics show raw X/Z and X/Y positions, normalized velocity-direction arrows and raw rotation-rate bars, keeping attempts separate. Per-feed previews show schematic targets, configured aim/spin, timing and stage activation. These are not a 3D animated spin glossary, a calibrated placement map, paddle animation or simulated flight. References: dashboard.py and dashboard/graphics.js.</w:t>
      </w:r>
    </w:p>
    <w:p>
      <w:pPr>
        <w:pStyle w:val="ListBullet"/>
      </w:pPr>
      <w:r>
        <w:rPr>
          <w:b/>
        </w:rPr>
        <w:t xml:space="preserve">Validation and privacy. </w:t>
      </w:r>
      <w:r>
        <w:t xml:space="preserve">The latest graphics work passed 16 targeted Python tests, 29 JavaScript tests and desktop/mobile browser checks at 1280, 390 and 320 pixels. Graphics models were checked against all 13,303 retained point-contact records and 16 generated feeds, with missing states explicit. Offline event handling and consent boundaries were checked; graphics tests performed no live uploads. Profiles, SQLite data, candidate settings and publication journals were preserved. Raw logs and credentials remain local; public sharing is limited to sanitized feed settings. References: tests/ and README.md.</w:t>
      </w:r>
    </w:p>
    <w:p>
      <w:r>
        <w:t xml:space="preserve">Evidence labels must remain distinct: implemented code, automated verification, player-reported in-game use and calibrated category fidelity are different claims. The strict fidelity gate is still open.</w:t>
      </w:r>
    </w:p>
    <w:p>
      <w:pPr>
        <w:pStyle w:val="Heading1"/>
        <w:pageBreakBefore/>
      </w:pPr>
      <w:r>
        <w:t xml:space="preserve">13 Recommended next steps and completion gates</w:t>
      </w:r>
    </w:p>
    <w:p>
      <w:r>
        <w:t>Current next gate: validate receiver-frame coordinates, provider event timing/spin units and bounce reconstruction against an independent reference. The imported sample has 21 opponent serve Hits, all carrying Mid direction/distance labels; those labels do not establish long/backhand membership. Use the assisted review to retain exact-source notes without inventing outcomes. Then classify actual category attempts/errors and validate one representative feed against agreed in-game tolerances. Cross-source reconciliation is required only before combining sources. Manual imports remain sufficient; automated collection is optional. See section 17.</w:t>
      </w:r>
    </w:p>
    <w:p>
      <w:pPr>
        <w:pStyle w:val="Heading2"/>
      </w:pPr>
      <w:r>
        <w:t xml:space="preserve">1. Agree the viewer contract before implementation</w:t>
      </w:r>
    </w:p>
    <w:p>
      <w:r>
        <w:t xml:space="preserve">Implemented foundation: the player confirmed the right-handed synthetic receiver frame, preset signs and explicit clockwise/counterclockwise naming. A dependency-free 3D Canvas renderer is in place. The remaining contract work is mapping and validating Hero/log units, reference axes and event timing into that frame; a provider's Left/Right spin labels must not silently replace the agreed viewer convention.</w:t>
      </w:r>
    </w:p>
    <w:p>
      <w:pPr>
        <w:pStyle w:val="Heading2"/>
      </w:pPr>
      <w:r>
        <w:t xml:space="preserve">2. Build and validate the illustrative glossary component</w:t>
      </w:r>
    </w:p>
    <w:p>
      <w:r>
        <w:t xml:space="preserve">Implemented foundation: the marked sphere, pure/mixed spin, independent controls, camera presets, paused initial state, slow motion and accessible static alternatives are available with automated math tests and browser checks. Continue player review. Synthetic rad/s and m/s values remain separate from provider/log values until a validated conversion is established.</w:t>
      </w:r>
    </w:p>
    <w:p>
      <w:pPr>
        <w:pStyle w:val="Heading2"/>
      </w:pPr>
      <w:r>
        <w:t xml:space="preserve">3. Establish evidence for the initial shot category</w:t>
      </w:r>
    </w:p>
    <w:p>
      <w:r>
        <w:t xml:space="preserve">New evidence acquired: the manual Hero importer and independent evidence view provide a real sample with both players, provider labels/flags, numeric fields, source provenance and rejected-row diagnostics. Next reconcile the declared match summary with provider point groups, establish units and receiving-side geometry, and review a labeled sample covering successful and failed first returns. A toss is not a receiving attempt; a provider success flag is not an eventual point winner. Show category-specific attempts/errors only after these gates are met, with unknowns and classifier version retained. Do not silently relabel the original long-sidespin/backhand requirement.</w:t>
      </w:r>
    </w:p>
    <w:p>
      <w:pPr>
        <w:pStyle w:val="Heading2"/>
      </w:pPr>
      <w:r>
        <w:t xml:space="preserve">4. Validate one representative category feed in Eleven</w:t>
      </w:r>
    </w:p>
    <w:p>
      <w:r>
        <w:t xml:space="preserve">Agree tolerances for spin direction, speed, legal bounces, placement and length before testing. Use the existing publishing path to obtain a key, then record the exact settings revision, key, observations and what was verified in-game. The working key 54334.340 is evidence for delivery, not automatic evidence that it matches the initial category. Milestone one needs a validated category representative; it does not require an exact opponent clone. Player-specific reproduction keys remain withheld until their separate fidelity gate passes.</w:t>
      </w:r>
    </w:p>
    <w:p>
      <w:pPr>
        <w:pStyle w:val="Heading2"/>
      </w:pPr>
      <w:r>
        <w:t xml:space="preserve">5. Complete one player-facing training loop</w:t>
      </w:r>
    </w:p>
    <w:p>
      <w:r>
        <w:t xml:space="preserve">Connect the validated category explanation and viewer to traceable examples, receiving attempts/errors, match counts, uncertainty, repeatable practice instructions and the validated key/profile. Conduct a player walkthrough showing understanding, successful loading and practice of the intended category. Record the evidence against the milestone-one completion gate before marking it complete.</w:t>
      </w:r>
    </w:p>
    <w:p>
      <w:pPr>
        <w:pStyle w:val="Heading2"/>
      </w:pPr>
      <w:r>
        <w:t xml:space="preserve">6. Extend from that validated baseline</w:t>
      </w:r>
    </w:p>
    <w:p>
      <w:r>
        <w:t xml:space="preserve">Next validate one-variable-at-a-time category-preserving variations for milestone two. Extend the existing milestone-three foundations with strengths and defensible category-level prioritization, then capture explicitly labeled practice outcomes and comparable-category progress for milestone four. Keep synchronization, adaptive schedules, opponent reconstruction and broader platform features behind their data-feasibility gates. Do not assign delivery dates until dependencies and capacity are known.</w:t>
      </w:r>
    </w:p>
    <w:p>
      <w:pPr>
        <w:pStyle w:val="Heading1"/>
      </w:pPr>
      <w:r>
        <w:t>14 Spin glossary and broad receiving pilot checkpoint</w:t>
      </w:r>
    </w:p>
    <w:p>
      <w:pPr>
        <w:pStyle w:val="Heading2"/>
      </w:pPr>
      <w:r>
        <w:t>Confirmed conventions and implemented viewer</w:t>
      </w:r>
    </w:p>
    <w:p>
      <w:r>
        <w:t>The player approved +X receiver right, +Y up, +Z incoming travel, with the receiver facing -Z. Topspin is +X; backspin -X; clockwise viewed from above -Y; counterclockwise +Y. The preference for right-handed play is stored by player ID, not applied to other players or used to infer backhand placement. These are synthetic conventions, not calibrated log axes.</w:t>
      </w:r>
    </w:p>
    <w:p>
      <w:r>
        <w:t>A dependency-free Canvas renderer uses quaternion rotation and depth-tested 3D sphere markings. It starts paused on topspin. Pure, mixed, zero and advanced axial presets; magnitude-preserving balance; independent spin/travel controls; camera presets; overlays; slow playback; stepping; reduced-motion handling; explanations and the synthetic input contract are implemented offline. Straight travel has an explicit loop reset and no curve or bounce simulation.</w:t>
      </w:r>
    </w:p>
    <w:p>
      <w:pPr>
        <w:pStyle w:val="Heading2"/>
      </w:pPr>
      <w:r>
        <w:t>Receiving-attempt evidence</w:t>
      </w:r>
    </w:p>
    <w:p>
      <w:r>
        <w:t>Classifier observed-first-return-1 finds 731 eligible terminal opponent-serve attempts across 38 matches: 47 missed first returns, 250 failed first-return landings, 407 returns followed by an opponent rally contact, 26 first-return winners and 1 unresolved outcome. The selected-sample failure fraction is 297/730 resolved attempts, or 40.7%; it is not an all-serve error probability.</w:t>
      </w:r>
    </w:p>
    <w:p>
      <w:r>
        <w:t>Known serve faults, nonterminal attempts, unbounded windows and measurement gaps are excluded explicitly. Earlier attempts do not inherit terminal outcomes. Return contact alone is not a success; later rally losses are not first-return failures. Source examples, classifier version, ranked/unranked scopes and unknown outcomes remain available. Automated rule tests do not establish independent ground truth or spin/length/backhand classification.</w:t>
      </w:r>
    </w:p>
    <w:p>
      <w:pPr>
        <w:pStyle w:val="Heading2"/>
      </w:pPr>
      <w:r>
        <w:t>Representative feed: validation prepared, not completed</w:t>
      </w:r>
    </w:p>
    <w:p>
      <w:r>
        <w:t>Existing key 54334.340 is the delivery baseline. The proposed test selects serve feed ANLY01 without changing settings, agrees a target before the run, and tests 20 feeds: 20 legal serve feeds, at least 18 target hits, and comfortable pace. Agreement must precede the run. The player has now accepted this 20-feed repeatability protocol and will test it in-game. Results remain pending. This agreement does not establish spin/speed/placement fidelity tolerances or log-derived personal targets.</w:t>
      </w:r>
    </w:p>
    <w:p>
      <w:r>
        <w:t>The dashboard records explicit player self-reports, key and feed identity, matching receipt revision when available, target, legal feeds and returns, pace and spin observations. Records persist in player-scoped browser storage with export. No test observations have been supplied by the player for this protocol; no new cloud upload was performed. Neither a saved report nor a repeatability pass unlocks player-specific keys.</w:t>
      </w:r>
    </w:p>
    <w:p>
      <w:pPr>
        <w:pStyle w:val="Heading2"/>
      </w:pPr>
      <w:r>
        <w:t>Verification and remaining gates</w:t>
      </w:r>
    </w:p>
    <w:p>
      <w:r>
        <w:t>Automated tests cover direction signs, rev/s conversion, frame-rate independence, normalized quaternion rotation, camera invariance, independent controls, playback scaling, zero versus unknown, receiving outcomes/exclusions/deduplication and protocol thresholds. Live browser checks exercise scope changes, source-point links, glossary controls and mocked observation save/export without writing test results to user storage. Persistent regeneration preserves 1,721 snapshots, existing settings and the publication journal.</w:t>
      </w:r>
    </w:p>
    <w:p>
      <w:r>
        <w:t>Next: obtain player visual feedback and actual in-game observations; revise the feed if needed and rerun the agreed test. Separately validate log-coordinate conversion and a labeled serve sample before introducing long-sidespin/backhand claims. Milestone one remains partial; opponent-specific reproduction remains gated.</w:t>
      </w:r>
    </w:p>
    <w:p>
      <w:pPr>
        <w:pStyle w:val="Heading1"/>
      </w:pPr>
      <w:r>
        <w:t>15 Named shot catalogue checkpoint - 24 October 2026</w:t>
      </w:r>
    </w:p>
    <w:p>
      <w:pPr>
        <w:pStyle w:val="Heading2"/>
      </w:pPr>
      <w:r>
        <w:t>Category definitions are implemented; automatic shot classification is not</w:t>
      </w:r>
    </w:p>
    <w:p>
      <w:r>
        <w:t>Shot Lexicon version shot-lexicon-1 defines incoming context, context-specific length/depth, receiving-side placement, spin family, explicit overhead sidespin direction and optional pace. Twelve starter categories are available in the dashboard, alongside a validated name builder, search/filtering, recognition cues, conditional counter-play guidance, success criteria, illustrative target-side diagrams and spin-glossary links.</w:t>
      </w:r>
    </w:p>
    <w:p>
      <w:r>
        <w:t>The featured category is the original milestone-one example: long sidespin serve to the backhand side, with sidespin direction not established. This is a definition to investigate, not a claim that logs already establish that specific personal weakness. Its broad side component does not rule out topspin or backspin; counter-play guidance requires identifying that component before choosing lift and racket angle.</w:t>
      </w:r>
    </w:p>
    <w:p>
      <w:pPr>
        <w:pStyle w:val="Heading2"/>
      </w:pPr>
      <w:r>
        <w:t>Starter categories</w:t>
      </w:r>
    </w:p>
    <w:p>
      <w:pPr>
        <w:pStyle w:val="ListBullet"/>
      </w:pPr>
      <w:r>
        <w:t>Long sidespin serve to the backhand side (sidespin direction unspecified)</w:t>
      </w:r>
    </w:p>
    <w:p>
      <w:pPr>
        <w:pStyle w:val="ListBullet"/>
      </w:pPr>
      <w:r>
        <w:t>Short backspin serve to the backhand side</w:t>
      </w:r>
    </w:p>
    <w:p>
      <w:pPr>
        <w:pStyle w:val="ListBullet"/>
      </w:pPr>
      <w:r>
        <w:t>Short backspin serve to the forehand side</w:t>
      </w:r>
    </w:p>
    <w:p>
      <w:pPr>
        <w:pStyle w:val="ListBullet"/>
      </w:pPr>
      <w:r>
        <w:t>Half-long sidespin-backspin serve to the table middle (sidespin direction unspecified)</w:t>
      </w:r>
    </w:p>
    <w:p>
      <w:pPr>
        <w:pStyle w:val="ListBullet"/>
      </w:pPr>
      <w:r>
        <w:t>Long topspin serve to the backhand side</w:t>
      </w:r>
    </w:p>
    <w:p>
      <w:pPr>
        <w:pStyle w:val="ListBullet"/>
      </w:pPr>
      <w:r>
        <w:t>Long backspin serve to the forehand side</w:t>
      </w:r>
    </w:p>
    <w:p>
      <w:pPr>
        <w:pStyle w:val="ListBullet"/>
      </w:pPr>
      <w:r>
        <w:t>Short negligible-spin serve to the table middle</w:t>
      </w:r>
    </w:p>
    <w:p>
      <w:pPr>
        <w:pStyle w:val="ListBullet"/>
      </w:pPr>
      <w:r>
        <w:t>Deep topspin rally ball to the backhand side</w:t>
      </w:r>
    </w:p>
    <w:p>
      <w:pPr>
        <w:pStyle w:val="ListBullet"/>
      </w:pPr>
      <w:r>
        <w:t>Deep topspin rally ball to the forehand side</w:t>
      </w:r>
    </w:p>
    <w:p>
      <w:pPr>
        <w:pStyle w:val="ListBullet"/>
      </w:pPr>
      <w:r>
        <w:t>Deep backspin rally ball to the backhand side</w:t>
      </w:r>
    </w:p>
    <w:p>
      <w:pPr>
        <w:pStyle w:val="ListBullet"/>
      </w:pPr>
      <w:r>
        <w:t>Mid-depth sidespin-topspin rally ball to the wide forehand side (sidespin direction unspecified)</w:t>
      </w:r>
    </w:p>
    <w:p>
      <w:pPr>
        <w:pStyle w:val="ListBullet"/>
      </w:pPr>
      <w:r>
        <w:t>Short backspin rally ball to the forehand side</w:t>
      </w:r>
    </w:p>
    <w:p>
      <w:pPr>
        <w:pStyle w:val="Heading2"/>
      </w:pPr>
      <w:r>
        <w:t>Evidence and naming safeguards</w:t>
      </w:r>
    </w:p>
    <w:p>
      <w:r>
        <w:t>Named-category attempts, failures and match counts are null/not classified, not zero. Broad first-return evidence remains separately labeled and follows the selected match mode; it is not copied into a named category. Category definitions do not publish Ball Machine Keys and do not unlock opponent-specific reproduction.</w:t>
      </w:r>
    </w:p>
    <w:p>
      <w:r>
        <w:t>Long serve length concerns a hypothetical next bounce beyond the end line; deep rally placement concerns the receiving bounce near that line. Table middle is not automatically the playing elbow. A backhand-side location is not a claim about the stroke used. Unknown spin is not negligible spin. Clockwise/counterclockwise labels are invariant under camera and handedness changes.</w:t>
      </w:r>
    </w:p>
    <w:p>
      <w:r>
        <w:t>The name builder supports 2,688 valid combinations and rejects inconsistent context/length and spin/direction choices. Starter definitions are persistent in output/shot_catalogue.json, the profile, SQLite profile JSON and the offline report. Exploratory builder changes can be exported as definitions; they do not become measured shot labels.</w:t>
      </w:r>
    </w:p>
    <w:p>
      <w:pPr>
        <w:pStyle w:val="Heading2"/>
      </w:pPr>
      <w:r>
        <w:t>Next steps toward most-missed serves and shots</w:t>
      </w:r>
    </w:p>
    <w:p>
      <w:r>
        <w:t>Validate log-to-receiver coordinate conversion and measurement-event consistency; establish receiving-bounce attribution, handedness/reference position and length/depth inference; agree classification boundaries; and review labeled successful and failed returns across games. Then assign each attempt once at the chosen category level, count immediate-return failures and resolved attempts, and rank recurring categories by observed point cost without losing source provenance.</w:t>
      </w:r>
    </w:p>
    <w:p>
      <w:r>
        <w:t>The player has accepted the separate 20-feed broad repeatability test for existing key 54334.340, feed ANLY01, but has not supplied results. That generic delivery baseline does not validate the featured long-sidespin/backhand category. Milestone one remains PARTIAL until a category representative and the original evidence/fidelity gates are met.</w:t>
      </w:r>
    </w:p>
    <w:p>
      <w:pPr>
        <w:pStyle w:val="Heading1"/>
      </w:pPr>
      <w:r>
        <w:t>16 Hero and Clubhouse findings: progress toward milestone one</w:t>
      </w:r>
    </w:p>
    <w:p>
      <w:pPr>
        <w:pStyle w:val="Heading2"/>
      </w:pPr>
      <w:r>
        <w:t>Checkpoint: 25 October 2026. Milestone one remains PARTIAL.</w:t>
      </w:r>
    </w:p>
    <w:p>
      <w:r>
        <w:t>Objective unchanged: explain an evidence-supported difficulty with long sidespin serves toward the player's backhand, provide clear counter-play and a usable key/profile, and validate a representative feed's spin, speed, placement and length. The new import work supplies inspectable evidence and potential reconstruction parameters; it does not by itself close the classification or in-game fidelity gates.</w:t>
      </w:r>
    </w:p>
    <w:p>
      <w:pPr>
        <w:pStyle w:val="Heading2"/>
      </w:pPr>
      <w:r>
        <w:t>16.1 What has actually been collected and implemented</w:t>
      </w:r>
    </w:p>
    <w:p>
      <w:r>
        <w:t>One real reference export imported: provider match 01a1610f-89ac-7000-aa7a-1e42566bd38b, associated by the supplied handoff with Munna62 (770249) versus DigitalByooki (1909208). Source: https://11hero.com/matches/01a1610f-89ac-7000-aa7a-1e42566bd38b . The export lacks a match envelope; this association and the card metadata remain declarations rather than independently verified file contents.</w:t>
      </w:r>
    </w:p>
    <w:p>
      <w:r>
        <w:t>Observed file contents: 181 accepted records, all 41 original fields retained, 138 Hits, 43 Tosses and 43 distinct provider point IDs. Both players are preserved: 92 target-player records and 89 opponent records, including tosses. These record counts are not receiving-attempt counts. There were no rejected or duplicate rows in this sample. The original retrieval time is unknown; the archive records import time separately.</w:t>
      </w:r>
    </w:p>
    <w:p>
      <w:r>
        <w:t>Manual import pipeline implemented in hero_import.py: explicit manifest, provider-ID namespacing, timezone-aware timestamp validation with original text/precision retained, finite-number/boolean checks, nullable and unknown fields, diagnostics, and quarantine of conflicting duplicate IDs. Raw bytes and normalized evidence are stored transactionally in a separate Hero SQLite archive. Identical reimport reuses the existing revision; changed content or declared metadata retains a new revision without overwriting old evidence.</w:t>
      </w:r>
    </w:p>
    <w:p>
      <w:r>
        <w:t>Independent Hero dashboard view implemented: choose a source/revision; filter Hits, Tosses and either player; inspect provider fields, flags, point groups, provenance and declared metadata; review diagnostics; and export evidence. Live and offline views work. Local loss rankings, receiving denominators, named catalogue diagnoses and machine-key eligibility are not populated from Hero flags.</w:t>
      </w:r>
    </w:p>
    <w:p>
      <w:r>
        <w:t>Persistence and privacy verified: the source export and private manifest stay local and ignored by Git. All 1,721 local snapshots, the existing profile/database, practice settings and cloud publication journal were preserved. Local-log rebuilds retain the Hero archive and display it separately. No match collection requests or cloud uploads were made during this implementation.</w:t>
      </w:r>
    </w:p>
    <w:p>
      <w:pPr>
        <w:pStyle w:val="Heading2"/>
      </w:pPr>
      <w:r>
        <w:t>16.2 Newly available evidence and its limits</w:t>
      </w:r>
    </w:p>
    <w:p>
      <w:r>
        <w:t>Provider classifications already exist. Observed shot labels include Toss, Serve, Drive, Push, Chop, SlowLoop and FastLoop; spin labels include None, BottomLeft, BottomRight, Bottom, TopLeft, TopRight, Top, Left and Right. They are retained as provider-derived labels, not discarded or automatically mapped to the Analyst lexicon. In particular, Hero Left/Right must be checked against the agreed overhead-clockwise/counterclockwise convention.</w:t>
      </w:r>
    </w:p>
    <w:p>
      <w:r>
        <w:t>Placement is not established by label availability. In the research sample, direction was Mid for all 181 records; distance was Mid for 175 and Long for 6; height was null throughout. Event position is not a receiving bounce or paddle pose. These distributions do not establish accurate long-serve or backhand-side classification.</w:t>
      </w:r>
    </w:p>
    <w:p>
      <w:r>
        <w:t>Units remain a hypothesis to test. For one reported serve, the norm of rrate=(-5313.3, 7701.6, -5056.5) divided by 360 is approximately 29.54, close to rrateSqrt=29.5. This suggests degrees/s components and revolutions/s magnitude, but is not a verified contract. No conversion was applied. Velocity units, reference frame, measurement timing and spin signs also require independent checks.</w:t>
      </w:r>
    </w:p>
    <w:p>
      <w:r>
        <w:t>Provider outcome/sequence flags are not local reasons. isServe can be true on Toss as well as Hit rows. isSuccess, isWinningShot, isServeSuccess and rallyCount are preserved annotations whose definitions need validation. The download has no explicit table/net collisions, paired incoming/outgoing states, continuous trajectory or validated terminal outcomes. No engine ticks, local log lines, collision events or raw_reason strings were invented.</w:t>
      </w:r>
    </w:p>
    <w:p>
      <w:r>
        <w:t>Potential reconstruction inputs are now available: bmPos*, bmBasePos*, bmSpeed, launch angles and bmSpin* fields. Their semantics, transformations and game-settings compatibility remain unverified. Raw rrate values must not be substituted for machine spin sliders. These fields do not yet create publishable or physically faithful category feeds.</w:t>
      </w:r>
    </w:p>
    <w:p>
      <w:pPr>
        <w:pStyle w:val="Heading2"/>
      </w:pPr>
      <w:r>
        <w:t>16.3 Reconciliation and research findings</w:t>
      </w:r>
    </w:p>
    <w:p>
      <w:r>
        <w:t>The handoff's match card showed 2:0 with set scores 13:11 and 0:0, while the export contains 43 provider point groups. The importer retains that discrepancy as unresolved metadata. Do not declare a complete match or derive point winners from that summary. The download lacks match ID, ranked status, names, set/score and pointWonByHome fields found in the browser UI; independently obtained context must remain separate.</w:t>
      </w:r>
    </w:p>
    <w:p>
      <w:r>
        <w:t>Coverage discovery is not collection. The dated Hero research found 55 unique match links across five pages (12/12/12/12/7), not 55 downloaded or imported matches. This delivery imported one reference match export. Hero data reflects uploaded coverage, not complete Eleven account history. Direct research HTTP requests received 403, while browser export worked; no supported bulk match API was identified, and no access restriction is bypassed.</w:t>
      </w:r>
    </w:p>
    <w:p>
      <w:r>
        <w:t>Clubhouse findings are not shot evidence. Inspected live responses included scores, serving indicators, commentary and replay references but no ball vectors. Repeated requests for the same commentary ID/time/score yielded different tactical descriptions. Treat that commentary as unverified generated narrative, not proof of a serve family or weakness. Replay metadata alone does not establish a telemetry download.</w:t>
      </w:r>
    </w:p>
    <w:p>
      <w:r>
        <w:t>The community scoreboard references Eleven account/match-summary APIs and an API-key requirement, but current authentication and response schemas were not verified. Existing HeroClient endpoints support ball-machine storage, not discovered match-history or shot-download operations. Do not conflate the two integrations.</w:t>
      </w:r>
    </w:p>
    <w:p>
      <w:pPr>
        <w:pStyle w:val="Heading2"/>
      </w:pPr>
      <w:r>
        <w:t>16.4 Milestone-one acceptance mapping</w:t>
      </w:r>
    </w:p>
    <w:p>
      <w:pPr>
        <w:pStyle w:val="ListBullet"/>
      </w:pPr>
      <w:r>
        <w:t>ACHIEVED FOUNDATION - Category explanation and visuals: the long-sidespin/backhand definition, conditional counter-play guidance, success criteria, illustrative glossary and table graphics exist. This is not yet a personalized, validated finding.</w:t>
      </w:r>
    </w:p>
    <w:p>
      <w:pPr>
        <w:pStyle w:val="ListBullet"/>
      </w:pPr>
      <w:r>
        <w:t>ACHIEVED FOUNDATION - Evidence acquisition and inspection: one real Hero export, original provider fields, immutable revisions and source-specific inspection are operational. The existing broad local first-return pilot is also available.</w:t>
      </w:r>
    </w:p>
    <w:p>
      <w:pPr>
        <w:pStyle w:val="ListBullet"/>
      </w:pPr>
      <w:r>
        <w:t>OPEN / BLOCKING - Category membership and difficulty: establish which incoming serve Hits genuinely satisfy long, sidespin and backhand-side criteria; review positive/negative examples; then show supported receiving attempts, immediate-return failures, matches/opponents and uncertainty. Neither 138 Hits nor 43 point groups is that denominator.</w:t>
      </w:r>
    </w:p>
    <w:p>
      <w:pPr>
        <w:pStyle w:val="ListBullet"/>
      </w:pPr>
      <w:r>
        <w:t>OPEN / BLOCKING - Reliable reference outcomes: resolve enough source context to support the selected category's immediate-return evidence. Cross-source reconciliation is CONDITIONAL, not required if one source is sufficient: Hero UUIDs are not local game IDs, so any future merge needs an explicit crosswalk supported by participants, time and scores. Until then, keep datasets separate to prevent double counting.</w:t>
      </w:r>
    </w:p>
    <w:p>
      <w:pPr>
        <w:pStyle w:val="ListBullet"/>
      </w:pPr>
      <w:r>
        <w:t>PARTIAL - Practice delivery: generic return plans, sanitized publishing and exact read-back verification work. Key 54334.340 was previously reported usable; it is not a validated long-sidespin/backhand representative and is not evidence of an opponent clone.</w:t>
      </w:r>
    </w:p>
    <w:p>
      <w:pPr>
        <w:pStyle w:val="ListBullet"/>
      </w:pPr>
      <w:r>
        <w:t>OPEN / BLOCKING - Representative feed and player walkthrough: validate one selected category example against agreed spin, speed, legal-bounce, placement and length tolerances; record the settings revision and actual observations; then demonstrate understanding, loading and practice of the intended shot.</w:t>
      </w:r>
    </w:p>
    <w:p>
      <w:pPr>
        <w:pStyle w:val="ListBullet"/>
      </w:pPr>
      <w:r>
        <w:t>OPTIONAL ENABLER - Resumable collection: manual JSON imports are sufficient under the original milestone-one gate. A future collector can increase coverage, but is not implemented and is not required before validating the initial category.</w:t>
      </w:r>
    </w:p>
    <w:p>
      <w:pPr>
        <w:pStyle w:val="Heading2"/>
      </w:pPr>
      <w:r>
        <w:t>16.5 Immediate next steps, in dependency order</w:t>
      </w:r>
    </w:p>
    <w:p>
      <w:pPr>
        <w:pStyle w:val="ListBullet"/>
      </w:pPr>
      <w:r>
        <w:t>1. Reconcile the reference match envelope and point/outcome context using independently captured source metadata. Keep any unresolved discrepancies visible rather than repairing them by assumption.</w:t>
      </w:r>
    </w:p>
    <w:p>
      <w:pPr>
        <w:pStyle w:val="ListBullet"/>
      </w:pPr>
      <w:r>
        <w:t>2. Calibrate provider numeric units, reference axes, event timing and spin-label signs. Establish receiving-bounce/length inference and handedness-aware placement criteria; the imported data may not contain enough geometry for every label.</w:t>
      </w:r>
    </w:p>
    <w:p>
      <w:pPr>
        <w:pStyle w:val="ListBullet"/>
      </w:pPr>
      <w:r>
        <w:t>3. Review a labeled sample of incoming serve Hits and immediate returns, including counterexamples and unknowns. Map supported labels to shot-lexicon-1 without treating tosses as attempts or a later rally loss as a failed first return.</w:t>
      </w:r>
    </w:p>
    <w:p>
      <w:pPr>
        <w:pStyle w:val="ListBullet"/>
      </w:pPr>
      <w:r>
        <w:t>4. Produce category-specific attempts/errors and repeated-match evidence. If the reference sample cannot support the original category, state the insufficiency and obtain more suitable evidence rather than substituting the broad pilot.</w:t>
      </w:r>
    </w:p>
    <w:p>
      <w:pPr>
        <w:pStyle w:val="ListBullet"/>
      </w:pPr>
      <w:r>
        <w:t>5. Assess the provider bm fields for one representative feed, preserve lineage, validate the settings format and delivery, then test in-game against agreed category-fidelity tolerances.</w:t>
      </w:r>
    </w:p>
    <w:p>
      <w:pPr>
        <w:pStyle w:val="ListBullet"/>
      </w:pPr>
      <w:r>
        <w:t>6. Complete the player-facing explanation-to-practice loop and record acceptance evidence before changing milestone one to COMPLETE. Comparable-category reassessment and automated collection remain later extensions.</w:t>
      </w:r>
    </w:p>
    <w:p>
      <w:r>
        <w:t>The separate 20-feed repeatability protocol for key 54334.340 / feed ANLY01 was accepted by the player, but no results have been supplied. Passing that broad usability test would not by itself satisfy the original category-specific fidelity gate.</w:t>
      </w:r>
    </w:p>
    <w:p>
      <w:pPr>
        <w:pStyle w:val="Heading2"/>
      </w:pPr>
      <w:r>
        <w:t>16.6 Verification and implementation references</w:t>
      </w:r>
    </w:p>
    <w:p>
      <w:r>
        <w:t>Validation completed for the import delivery: 125 Python tests and 46 JavaScript tests passed. Real-file checks verified 181/138/43 records, all 41 fields, both players, exact raw-byte preservation and idempotent reimport. Browser checks covered served/offline filtering, pagination, row inspection, export and a narrow-screen layout. These establish software behaviour and data preservation, not independent provider classification accuracy or in-game physical reproduction.</w:t>
      </w:r>
    </w:p>
    <w:p>
      <w:r>
        <w:t>Implementation: hero_import.py; dashboard/hero.js; dashboard.py; analyst.py; serve.py. Documentation: docs/HERO_IMPORT.md; docs/HERO_IMPORT_DEVELOPER_HANDOFF.md; docs/hero-import.example.json. Private archive: output/hero_imports.sqlite3; normalized snapshot: output/hero_evidence.1909208.json. Raw source export and private manifest are intentionally not repository fixtures.</w:t>
      </w:r>
    </w:p>
    <w:p>
      <w:r>
        <w:t>Research references: https://11hero.com/upload ; https://11hero.com/players/1909208 ; https://11clubhouse.com/live/ ; https://github.com/Cristy94/eleven-vr-scoreboard . Research observations are dated 25 October 2026 and remain subject to provider changes.</w:t>
      </w:r>
    </w:p>
    <w:p>
      <w:pPr>
        <w:pStyle w:val="Heading1"/>
      </w:pPr>
      <w:r>
        <w:t>17 Assisted review and synthetic geometry: milestone one remains PARTIAL</w:t>
      </w:r>
    </w:p>
    <w:p>
      <w:pPr>
        <w:pStyle w:val="Heading2"/>
      </w:pPr>
      <w:r>
        <w:t>17.1 Actual sample audit and source boundaries</w:t>
      </w:r>
    </w:p>
    <w:p>
      <w:r>
        <w:t>The single imported reference export contains 21 opponent serve Hits. Two are provider-marked unsuccessful serves; 19 have a following target-player Hit in file order, including six marked unsuccessful. All 21 opponent serves have Mid direction and distance labels (18 BottomLeft spin, three TopLeft). These annotations are not validated receiving-attempt or error counts. The provider ace flag can coexist with a return contact and must not be interpreted as a missed contact.</w:t>
      </w:r>
    </w:p>
    <w:p>
      <w:r>
        <w:t>Real long/backhand category attempts, errors, match counts and error rate remain unknown, not zero. No replay or video has been supplied. The source score anomaly remains unresolved. Neither provider rows nor local profiles, snapshots, machine settings, publication receipts or loss denominators are changed by the review workflow.</w:t>
      </w:r>
    </w:p>
    <w:p>
      <w:pPr>
        <w:pStyle w:val="Heading2"/>
      </w:pPr>
      <w:r>
        <w:t>17.2 Receiver-perspective definitions and validation gates</w:t>
      </w:r>
    </w:p>
    <w:p>
      <w:pPr>
        <w:pStyle w:val="ListBullet"/>
      </w:pPr>
      <w:r>
        <w:t>Player 1909208 is user-confirmed right-handed. Backhand side means the receiver's left; for a left-handed player it means the receiver's right. Location does not identify the stroke played.</w:t>
      </w:r>
    </w:p>
    <w:p>
      <w:pPr>
        <w:pStyle w:val="ListBullet"/>
      </w:pPr>
      <w:r>
        <w:t>Placement requires a validated coordinate transform into the receiver's frame, validated event timing and validated bounce reconstruction. Do not classify from camera orientation or Hero direction/distance labels. All real placement is unknown until these gates are met.</w:t>
      </w:r>
    </w:p>
    <w:p>
      <w:pPr>
        <w:pStyle w:val="ListBullet"/>
      </w:pPr>
      <w:r>
        <w:t>Long requires the hypothetical next table bounce, without a return, to fall beyond the receiver's end line. A deep first bounce alone is insufficient. Boundaries and uncertainty must be explicit.</w:t>
      </w:r>
    </w:p>
    <w:p>
      <w:pPr>
        <w:pStyle w:val="ListBullet"/>
      </w:pPr>
      <w:r>
        <w:t>Spin coordinate axes and units remain unvalidated for the provider. Mixed spin must retain its components. No imported vector is substituted into a launcher slider.</w:t>
      </w:r>
    </w:p>
    <w:p>
      <w:pPr>
        <w:pStyle w:val="Heading2"/>
      </w:pPr>
      <w:r>
        <w:t>17.3 Implemented assisted review and synthetic checks</w:t>
      </w:r>
    </w:p>
    <w:p>
      <w:r>
        <w:t>Hero imports now offers a per-revision opponent-serve review queue, original fields, following recorded Hit, source identity and sequence warnings. Pending notes or reference-backed immediate-return observations are appended to browser-local history. Each record includes player, revision/source hash, match, point, shot, export-row index and timestamp. User observations stay separate from Analyst outcomes; geometry cannot be overridden and keys remain withheld.</w:t>
      </w:r>
    </w:p>
    <w:p>
      <w:r>
        <w:t>Review history can be exported as 11analyst.hero-reviews v1. It is not automatically stored in the source archive, carried onto later revisions, synchronized across browser origins, or re-imported. Corrupt/unavailable storage is reported without overwriting it. Export a backup for durable transfer.</w:t>
      </w:r>
    </w:p>
    <w:p>
      <w:r>
        <w:t>The geometry prototype accepts synthetic fixtures only: explicitly supplied first/next bounces, frame orientation, handedness and tolerances. It does not reconstruct real trajectories. Tests cover both hands, receiver ends, side changes, translated origins, mixed/pure/zero spin, deep-first-bounce negatives, centre/end-line/edge boundaries and every validation gate. Synthetic tests verify logic, not real-world accuracy. Fixture tolerances are not agreed in-game acceptance tolerances.</w:t>
      </w:r>
    </w:p>
    <w:p>
      <w:pPr>
        <w:pStyle w:val="Heading2"/>
      </w:pPr>
      <w:r>
        <w:t>17.4 Remaining acceptance work</w:t>
      </w:r>
    </w:p>
    <w:p>
      <w:pPr>
        <w:pStyle w:val="ListBullet"/>
      </w:pPr>
      <w:r>
        <w:t>Obtain an independent reference and validate coordinate axes, receiver transform, event timing, spin units and bounce reconstruction before classifying actual placement.</w:t>
      </w:r>
    </w:p>
    <w:p>
      <w:pPr>
        <w:pStyle w:val="ListBullet"/>
      </w:pPr>
      <w:r>
        <w:t>Establish actual long-sidespin/backhand membership and immediate-return outcomes, then report attempts/errors, match coverage, uncertainty and representative examples without combining revisions or double-counting sources.</w:t>
      </w:r>
    </w:p>
    <w:p>
      <w:pPr>
        <w:pStyle w:val="ListBullet"/>
      </w:pPr>
      <w:r>
        <w:t>Agree category-specific spin, pace, bounce, placement and length tolerances; validate one representative feed in Eleven and complete the player walkthrough. The generic key 54334.340 and its separate 20-feed repeatability protocol do not establish category fidelity. No new in-game results have been supplied.</w:t>
      </w:r>
    </w:p>
    <w:p>
      <w:r>
        <w:t>Implementation references: docs/HERO_IMPORT.md, dashboard/hero_review.js, tests/test_hero_review.js and tests/test_dashboard.py. The original milestone-one acceptance criteria remain unchanged.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Eleven Analyst  |  Interactive Spin Guide  |  Developer handoff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5</cp:revision>
  <dcterms:created xsi:type="dcterms:W3CDTF">2013-12-23T23:15:00Z</dcterms:created>
  <dcterms:modified xsi:type="dcterms:W3CDTF">2026-10-25T20:11:40Z</dcterms:modified>
  <cp:category/>
</cp:coreProperties>
</file>