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8926EB" w14:textId="77777777" w:rsidR="00A7256B" w:rsidRDefault="00A7256B" w:rsidP="00A7256B">
      <w:pPr>
        <w:tabs>
          <w:tab w:val="left" w:pos="2005"/>
          <w:tab w:val="center" w:pos="4680"/>
        </w:tabs>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sidRPr="00681823">
        <w:rPr>
          <w:rFonts w:ascii="Times New Roman" w:hAnsi="Times New Roman" w:cs="Times New Roman"/>
          <w:b/>
          <w:sz w:val="28"/>
        </w:rPr>
        <w:t>Facilities, Equipment and Other Resources</w:t>
      </w:r>
    </w:p>
    <w:p w14:paraId="1CA6B374" w14:textId="77777777" w:rsidR="00A7256B" w:rsidRDefault="00A7256B" w:rsidP="00A7256B">
      <w:pPr>
        <w:jc w:val="both"/>
        <w:rPr>
          <w:rFonts w:ascii="Times New Roman" w:hAnsi="Times New Roman" w:cs="Times New Roman"/>
        </w:rPr>
      </w:pPr>
    </w:p>
    <w:p w14:paraId="423F37D1" w14:textId="77777777" w:rsidR="00A7256B" w:rsidRPr="00B12612" w:rsidRDefault="00A7256B" w:rsidP="00A7256B">
      <w:pPr>
        <w:jc w:val="both"/>
        <w:rPr>
          <w:rFonts w:ascii="Times New Roman" w:hAnsi="Times New Roman" w:cs="Times New Roman"/>
          <w:b/>
          <w:i/>
          <w:u w:val="single"/>
        </w:rPr>
      </w:pPr>
      <w:r w:rsidRPr="00B12612">
        <w:rPr>
          <w:rFonts w:ascii="Times New Roman" w:hAnsi="Times New Roman" w:cs="Times New Roman"/>
          <w:b/>
          <w:i/>
          <w:u w:val="single"/>
        </w:rPr>
        <w:t>Florida Institute for Cybersecurity Research (FICS)</w:t>
      </w:r>
    </w:p>
    <w:p w14:paraId="0E4D1C21" w14:textId="72A00A1A" w:rsidR="00A7256B" w:rsidRDefault="00A7256B" w:rsidP="00A7256B">
      <w:pPr>
        <w:jc w:val="both"/>
        <w:rPr>
          <w:rFonts w:ascii="Times New Roman" w:hAnsi="Times New Roman" w:cs="Times New Roman"/>
        </w:rPr>
      </w:pPr>
      <w:r w:rsidRPr="00E80214">
        <w:rPr>
          <w:rFonts w:ascii="Times New Roman" w:hAnsi="Times New Roman" w:cs="Times New Roman"/>
        </w:rPr>
        <w:t xml:space="preserve">At the University of </w:t>
      </w:r>
      <w:r>
        <w:rPr>
          <w:rFonts w:ascii="Times New Roman" w:hAnsi="Times New Roman" w:cs="Times New Roman"/>
        </w:rPr>
        <w:t>Florida,</w:t>
      </w:r>
      <w:r w:rsidRPr="00E80214">
        <w:rPr>
          <w:rFonts w:ascii="Times New Roman" w:hAnsi="Times New Roman" w:cs="Times New Roman"/>
        </w:rPr>
        <w:t xml:space="preserve"> the </w:t>
      </w:r>
      <w:r>
        <w:rPr>
          <w:rFonts w:ascii="Times New Roman" w:hAnsi="Times New Roman" w:cs="Times New Roman"/>
        </w:rPr>
        <w:t xml:space="preserve">project </w:t>
      </w:r>
      <w:r w:rsidRPr="00E80214">
        <w:rPr>
          <w:rFonts w:ascii="Times New Roman" w:hAnsi="Times New Roman" w:cs="Times New Roman"/>
        </w:rPr>
        <w:t xml:space="preserve">will be conducted at the </w:t>
      </w:r>
      <w:r>
        <w:rPr>
          <w:rFonts w:ascii="Times New Roman" w:hAnsi="Times New Roman" w:cs="Times New Roman"/>
        </w:rPr>
        <w:t>Florida Institute for Cybersecurity Research (or FICS). FICS</w:t>
      </w:r>
      <w:r w:rsidRPr="00E80214">
        <w:rPr>
          <w:rFonts w:ascii="Times New Roman" w:hAnsi="Times New Roman" w:cs="Times New Roman"/>
        </w:rPr>
        <w:t xml:space="preserve"> was organized in 201</w:t>
      </w:r>
      <w:r>
        <w:rPr>
          <w:rFonts w:ascii="Times New Roman" w:hAnsi="Times New Roman" w:cs="Times New Roman"/>
        </w:rPr>
        <w:t>5</w:t>
      </w:r>
      <w:r w:rsidRPr="00E80214">
        <w:rPr>
          <w:rFonts w:ascii="Times New Roman" w:hAnsi="Times New Roman" w:cs="Times New Roman"/>
        </w:rPr>
        <w:t xml:space="preserve"> to provide the University with a physical and</w:t>
      </w:r>
      <w:r>
        <w:rPr>
          <w:rFonts w:ascii="Times New Roman" w:hAnsi="Times New Roman" w:cs="Times New Roman"/>
        </w:rPr>
        <w:t xml:space="preserve"> </w:t>
      </w:r>
      <w:r w:rsidRPr="00E80214">
        <w:rPr>
          <w:rFonts w:ascii="Times New Roman" w:hAnsi="Times New Roman" w:cs="Times New Roman"/>
        </w:rPr>
        <w:t xml:space="preserve">intellectual environment necessary for interdisciplinary </w:t>
      </w:r>
      <w:r>
        <w:rPr>
          <w:rFonts w:ascii="Times New Roman" w:hAnsi="Times New Roman" w:cs="Times New Roman"/>
        </w:rPr>
        <w:t>cybersecurity</w:t>
      </w:r>
      <w:r w:rsidRPr="00E80214">
        <w:rPr>
          <w:rFonts w:ascii="Times New Roman" w:hAnsi="Times New Roman" w:cs="Times New Roman"/>
        </w:rPr>
        <w:t xml:space="preserve"> research and</w:t>
      </w:r>
      <w:r>
        <w:rPr>
          <w:rFonts w:ascii="Times New Roman" w:hAnsi="Times New Roman" w:cs="Times New Roman"/>
        </w:rPr>
        <w:t xml:space="preserve"> </w:t>
      </w:r>
      <w:r w:rsidRPr="00E80214">
        <w:rPr>
          <w:rFonts w:ascii="Times New Roman" w:hAnsi="Times New Roman" w:cs="Times New Roman"/>
        </w:rPr>
        <w:t>applications to meet the challenges of the future in the field of assurance and security.</w:t>
      </w:r>
      <w:r>
        <w:rPr>
          <w:rFonts w:ascii="Times New Roman" w:hAnsi="Times New Roman" w:cs="Times New Roman"/>
        </w:rPr>
        <w:t xml:space="preserve"> </w:t>
      </w:r>
      <w:r w:rsidRPr="00BC7339">
        <w:rPr>
          <w:rFonts w:ascii="Times New Roman" w:hAnsi="Times New Roman" w:cs="Times New Roman"/>
        </w:rPr>
        <w:t xml:space="preserve">The FICS </w:t>
      </w:r>
      <w:r>
        <w:rPr>
          <w:rFonts w:ascii="Times New Roman" w:hAnsi="Times New Roman" w:cs="Times New Roman"/>
        </w:rPr>
        <w:t xml:space="preserve">Research </w:t>
      </w:r>
      <w:r w:rsidRPr="00BC7339">
        <w:rPr>
          <w:rFonts w:ascii="Times New Roman" w:hAnsi="Times New Roman" w:cs="Times New Roman"/>
        </w:rPr>
        <w:t>Institute covers all areas of information and hardware security including security of mobile devices and networks, integrated circuits and systems, internet-of-things, cyber physical systems, and emerging nanotechnology devices</w:t>
      </w:r>
      <w:r w:rsidR="00145569">
        <w:rPr>
          <w:rFonts w:ascii="Times New Roman" w:hAnsi="Times New Roman" w:cs="Times New Roman"/>
        </w:rPr>
        <w:t>. PI Traynor is co-director of FICS</w:t>
      </w:r>
      <w:r>
        <w:rPr>
          <w:rFonts w:ascii="Times New Roman" w:hAnsi="Times New Roman" w:cs="Times New Roman"/>
        </w:rPr>
        <w:t xml:space="preserve"> and PI Butler leads systems security research within the institute</w:t>
      </w:r>
      <w:r w:rsidRPr="00BC7339">
        <w:rPr>
          <w:rFonts w:ascii="Times New Roman" w:hAnsi="Times New Roman" w:cs="Times New Roman"/>
        </w:rPr>
        <w:t>. As part of its mission, FICS is committed to enhancing the educational experiences for a diverse set of top-quality graduate and undergraduate students, and to developing revolutionary knowledge and technologies with a tangible imp</w:t>
      </w:r>
      <w:r>
        <w:rPr>
          <w:rFonts w:ascii="Times New Roman" w:hAnsi="Times New Roman" w:cs="Times New Roman"/>
        </w:rPr>
        <w:t xml:space="preserve">act on industry and government. </w:t>
      </w:r>
      <w:r w:rsidRPr="00BC7339">
        <w:rPr>
          <w:rFonts w:ascii="Times New Roman" w:hAnsi="Times New Roman" w:cs="Times New Roman"/>
        </w:rPr>
        <w:t xml:space="preserve">FICS disseminates research and research-education information through publications, invited talks, poster sessions, tutorials, and webinars at leading international conferences, workshops, and events as well as the FICS annual conference. </w:t>
      </w:r>
    </w:p>
    <w:p w14:paraId="3F3CD13D" w14:textId="2B6711EC" w:rsidR="00A7256B" w:rsidRDefault="00A7256B" w:rsidP="00615CBD">
      <w:pPr>
        <w:jc w:val="both"/>
        <w:rPr>
          <w:rFonts w:ascii="Times New Roman" w:hAnsi="Times New Roman" w:cs="Times New Roman"/>
        </w:rPr>
      </w:pPr>
      <w:r>
        <w:rPr>
          <w:rFonts w:ascii="Times New Roman" w:hAnsi="Times New Roman" w:cs="Times New Roman"/>
        </w:rPr>
        <w:t>FICS</w:t>
      </w:r>
      <w:r w:rsidRPr="00E80214">
        <w:rPr>
          <w:rFonts w:ascii="Times New Roman" w:hAnsi="Times New Roman" w:cs="Times New Roman"/>
        </w:rPr>
        <w:t xml:space="preserve"> is sufficiently equipped to provide the appropriate technical, computing,</w:t>
      </w:r>
      <w:r>
        <w:rPr>
          <w:rFonts w:ascii="Times New Roman" w:hAnsi="Times New Roman" w:cs="Times New Roman"/>
        </w:rPr>
        <w:t xml:space="preserve"> algorithmic, equipment</w:t>
      </w:r>
      <w:r w:rsidRPr="00E80214">
        <w:rPr>
          <w:rFonts w:ascii="Times New Roman" w:hAnsi="Times New Roman" w:cs="Times New Roman"/>
        </w:rPr>
        <w:t>, or other relevant services needed to successfully carry out the</w:t>
      </w:r>
      <w:r>
        <w:rPr>
          <w:rFonts w:ascii="Times New Roman" w:hAnsi="Times New Roman" w:cs="Times New Roman"/>
        </w:rPr>
        <w:t xml:space="preserve"> </w:t>
      </w:r>
      <w:r w:rsidRPr="00E80214">
        <w:rPr>
          <w:rFonts w:ascii="Times New Roman" w:hAnsi="Times New Roman" w:cs="Times New Roman"/>
        </w:rPr>
        <w:t>work described in this proposal.</w:t>
      </w:r>
      <w:r>
        <w:rPr>
          <w:rFonts w:ascii="Times New Roman" w:hAnsi="Times New Roman" w:cs="Times New Roman"/>
        </w:rPr>
        <w:t xml:space="preserve"> We recently developed the </w:t>
      </w:r>
      <w:r w:rsidRPr="00160BA4">
        <w:rPr>
          <w:rFonts w:ascii="Times New Roman" w:hAnsi="Times New Roman" w:cs="Times New Roman"/>
        </w:rPr>
        <w:t xml:space="preserve">FICS </w:t>
      </w:r>
      <w:proofErr w:type="spellStart"/>
      <w:r w:rsidRPr="00160BA4">
        <w:rPr>
          <w:rFonts w:ascii="Times New Roman" w:hAnsi="Times New Roman" w:cs="Times New Roman"/>
        </w:rPr>
        <w:t>SeCurity</w:t>
      </w:r>
      <w:proofErr w:type="spellEnd"/>
      <w:r w:rsidRPr="00160BA4">
        <w:rPr>
          <w:rFonts w:ascii="Times New Roman" w:hAnsi="Times New Roman" w:cs="Times New Roman"/>
        </w:rPr>
        <w:t xml:space="preserve"> and </w:t>
      </w:r>
      <w:proofErr w:type="spellStart"/>
      <w:r w:rsidRPr="00160BA4">
        <w:rPr>
          <w:rFonts w:ascii="Times New Roman" w:hAnsi="Times New Roman" w:cs="Times New Roman"/>
        </w:rPr>
        <w:t>AssuraNce</w:t>
      </w:r>
      <w:proofErr w:type="spellEnd"/>
      <w:r w:rsidRPr="00160BA4">
        <w:rPr>
          <w:rFonts w:ascii="Times New Roman" w:hAnsi="Times New Roman" w:cs="Times New Roman"/>
        </w:rPr>
        <w:t xml:space="preserve"> (SCAN) Lab,</w:t>
      </w:r>
      <w:r>
        <w:rPr>
          <w:rFonts w:ascii="Times New Roman" w:hAnsi="Times New Roman" w:cs="Times New Roman"/>
        </w:rPr>
        <w:t xml:space="preserve"> which consists of 2500 square feet of newly renovated lab </w:t>
      </w:r>
      <w:r w:rsidRPr="00E80214">
        <w:rPr>
          <w:rFonts w:ascii="Times New Roman" w:hAnsi="Times New Roman" w:cs="Times New Roman"/>
        </w:rPr>
        <w:t xml:space="preserve">space, </w:t>
      </w:r>
      <w:r>
        <w:rPr>
          <w:rFonts w:ascii="Times New Roman" w:hAnsi="Times New Roman" w:cs="Times New Roman"/>
        </w:rPr>
        <w:t xml:space="preserve">over $7M in </w:t>
      </w:r>
      <w:r w:rsidRPr="00E80214">
        <w:rPr>
          <w:rFonts w:ascii="Times New Roman" w:hAnsi="Times New Roman" w:cs="Times New Roman"/>
        </w:rPr>
        <w:t>research equipment</w:t>
      </w:r>
      <w:r>
        <w:rPr>
          <w:rFonts w:ascii="Times New Roman" w:hAnsi="Times New Roman" w:cs="Times New Roman"/>
        </w:rPr>
        <w:t xml:space="preserve"> (listed below)</w:t>
      </w:r>
      <w:r w:rsidRPr="00E80214">
        <w:rPr>
          <w:rFonts w:ascii="Times New Roman" w:hAnsi="Times New Roman" w:cs="Times New Roman"/>
        </w:rPr>
        <w:t xml:space="preserve">, and operating personnel </w:t>
      </w:r>
      <w:r>
        <w:rPr>
          <w:rFonts w:ascii="Times New Roman" w:hAnsi="Times New Roman" w:cs="Times New Roman"/>
        </w:rPr>
        <w:t xml:space="preserve">to support </w:t>
      </w:r>
      <w:r w:rsidRPr="00E80214">
        <w:rPr>
          <w:rFonts w:ascii="Times New Roman" w:hAnsi="Times New Roman" w:cs="Times New Roman"/>
        </w:rPr>
        <w:t>research activities.</w:t>
      </w:r>
      <w:r>
        <w:rPr>
          <w:rFonts w:ascii="Times New Roman" w:hAnsi="Times New Roman" w:cs="Times New Roman"/>
        </w:rPr>
        <w:t xml:space="preserve"> The main sponsors of SCAN Lab are TESCAN, ZEISS, Tektronix, and Intel. </w:t>
      </w:r>
      <w:proofErr w:type="spellStart"/>
      <w:r>
        <w:rPr>
          <w:rFonts w:ascii="Times New Roman" w:hAnsi="Times New Roman" w:cs="Times New Roman"/>
        </w:rPr>
        <w:t>Ellisys</w:t>
      </w:r>
      <w:proofErr w:type="spellEnd"/>
      <w:r>
        <w:rPr>
          <w:rFonts w:ascii="Times New Roman" w:hAnsi="Times New Roman" w:cs="Times New Roman"/>
        </w:rPr>
        <w:t xml:space="preserve"> has also contributed through donation of a USB protocol analyzer, and we are in discussion with them to acquire new USB protocol analyzers to support Type-C devices, for which they offer us freely available access, and Bluetooth protocol analyzers supporting both classic and Bluetooth Low Energy protocols. This </w:t>
      </w:r>
      <w:r w:rsidR="00615CBD">
        <w:rPr>
          <w:rFonts w:ascii="Times New Roman" w:hAnsi="Times New Roman" w:cs="Times New Roman"/>
        </w:rPr>
        <w:t>equipment along with the oscilloscopes and logic analyzers listed below will aid in our analysis</w:t>
      </w:r>
      <w:r w:rsidR="00496521">
        <w:rPr>
          <w:rFonts w:ascii="Times New Roman" w:hAnsi="Times New Roman" w:cs="Times New Roman"/>
        </w:rPr>
        <w:t xml:space="preserve"> of mobile devices and their communication capabilities</w:t>
      </w:r>
      <w:r w:rsidR="00615CBD">
        <w:rPr>
          <w:rFonts w:ascii="Times New Roman" w:hAnsi="Times New Roman" w:cs="Times New Roman"/>
        </w:rPr>
        <w:t xml:space="preserve">. The inspection and test </w:t>
      </w:r>
      <w:r>
        <w:rPr>
          <w:rFonts w:ascii="Times New Roman" w:hAnsi="Times New Roman" w:cs="Times New Roman"/>
        </w:rPr>
        <w:t>equipment below</w:t>
      </w:r>
      <w:r w:rsidR="004613E1">
        <w:rPr>
          <w:rFonts w:ascii="Times New Roman" w:hAnsi="Times New Roman" w:cs="Times New Roman"/>
        </w:rPr>
        <w:t xml:space="preserve">, particularly the X-Ray tomography device and the </w:t>
      </w:r>
      <w:proofErr w:type="spellStart"/>
      <w:r w:rsidR="004613E1">
        <w:rPr>
          <w:rFonts w:ascii="Times New Roman" w:hAnsi="Times New Roman" w:cs="Times New Roman"/>
        </w:rPr>
        <w:t>NanoFab</w:t>
      </w:r>
      <w:proofErr w:type="spellEnd"/>
      <w:r w:rsidR="004613E1">
        <w:rPr>
          <w:rFonts w:ascii="Times New Roman" w:hAnsi="Times New Roman" w:cs="Times New Roman"/>
        </w:rPr>
        <w:t xml:space="preserve"> chip editor,</w:t>
      </w:r>
      <w:r>
        <w:rPr>
          <w:rFonts w:ascii="Times New Roman" w:hAnsi="Times New Roman" w:cs="Times New Roman"/>
        </w:rPr>
        <w:t xml:space="preserve"> will assist in our firmware extraction and analysis activities</w:t>
      </w:r>
      <w:r w:rsidR="007108EE">
        <w:rPr>
          <w:rFonts w:ascii="Times New Roman" w:hAnsi="Times New Roman" w:cs="Times New Roman"/>
        </w:rPr>
        <w:t xml:space="preserve">, while our server infrastructure will </w:t>
      </w:r>
      <w:r w:rsidR="00496521">
        <w:rPr>
          <w:rFonts w:ascii="Times New Roman" w:hAnsi="Times New Roman" w:cs="Times New Roman"/>
        </w:rPr>
        <w:t>aid with the application analysis and network simulation and emulation</w:t>
      </w:r>
      <w:r>
        <w:rPr>
          <w:rFonts w:ascii="Times New Roman" w:hAnsi="Times New Roman" w:cs="Times New Roman"/>
        </w:rPr>
        <w:t xml:space="preserve">. </w:t>
      </w:r>
    </w:p>
    <w:p w14:paraId="02991959" w14:textId="77777777" w:rsidR="00A7256B" w:rsidRDefault="00A7256B" w:rsidP="00A7256B">
      <w:pPr>
        <w:jc w:val="both"/>
        <w:rPr>
          <w:rFonts w:ascii="Times New Roman" w:hAnsi="Times New Roman" w:cs="Times New Roman"/>
        </w:rPr>
      </w:pPr>
    </w:p>
    <w:p w14:paraId="1B33F44B" w14:textId="77777777" w:rsidR="00A7256B" w:rsidRPr="00E212A6" w:rsidRDefault="00A7256B" w:rsidP="00A7256B">
      <w:pPr>
        <w:jc w:val="both"/>
        <w:rPr>
          <w:rFonts w:ascii="Times New Roman" w:hAnsi="Times New Roman" w:cs="Times New Roman"/>
          <w:i/>
          <w:u w:val="single"/>
        </w:rPr>
      </w:pPr>
      <w:r w:rsidRPr="00E212A6">
        <w:rPr>
          <w:rFonts w:ascii="Times New Roman" w:hAnsi="Times New Roman" w:cs="Times New Roman"/>
          <w:i/>
          <w:u w:val="single"/>
        </w:rPr>
        <w:t>I. Physical Inspection Equipment:</w:t>
      </w:r>
    </w:p>
    <w:p w14:paraId="332FA0A3" w14:textId="77777777" w:rsidR="00A7256B" w:rsidRPr="00E212A6" w:rsidRDefault="00A7256B" w:rsidP="00A7256B">
      <w:pPr>
        <w:pStyle w:val="ListParagraph"/>
        <w:numPr>
          <w:ilvl w:val="0"/>
          <w:numId w:val="6"/>
        </w:numPr>
        <w:rPr>
          <w:rFonts w:ascii="Times New Roman" w:hAnsi="Times New Roman" w:cs="Times New Roman"/>
          <w:i/>
          <w:sz w:val="24"/>
          <w:szCs w:val="24"/>
        </w:rPr>
      </w:pPr>
      <w:r w:rsidRPr="00E212A6">
        <w:rPr>
          <w:rFonts w:ascii="Times New Roman" w:hAnsi="Times New Roman" w:cs="Times New Roman"/>
          <w:i/>
          <w:sz w:val="24"/>
          <w:szCs w:val="24"/>
        </w:rPr>
        <w:t>Tomography</w:t>
      </w:r>
      <w:r>
        <w:rPr>
          <w:rFonts w:ascii="Times New Roman" w:hAnsi="Times New Roman" w:cs="Times New Roman"/>
          <w:i/>
          <w:sz w:val="24"/>
          <w:szCs w:val="24"/>
        </w:rPr>
        <w:t xml:space="preserve">- </w:t>
      </w:r>
      <w:r w:rsidRPr="00E212A6">
        <w:rPr>
          <w:rFonts w:ascii="Times New Roman" w:hAnsi="Times New Roman" w:cs="Times New Roman"/>
          <w:sz w:val="24"/>
          <w:szCs w:val="24"/>
        </w:rPr>
        <w:t xml:space="preserve">Bruker </w:t>
      </w:r>
      <w:proofErr w:type="spellStart"/>
      <w:r>
        <w:rPr>
          <w:rFonts w:ascii="Times New Roman" w:hAnsi="Times New Roman" w:cs="Times New Roman"/>
          <w:sz w:val="24"/>
          <w:szCs w:val="24"/>
        </w:rPr>
        <w:t>SkyS</w:t>
      </w:r>
      <w:r w:rsidRPr="00E212A6">
        <w:rPr>
          <w:rFonts w:ascii="Times New Roman" w:hAnsi="Times New Roman" w:cs="Times New Roman"/>
          <w:sz w:val="24"/>
          <w:szCs w:val="24"/>
        </w:rPr>
        <w:t>can</w:t>
      </w:r>
      <w:proofErr w:type="spellEnd"/>
      <w:r w:rsidRPr="00E212A6">
        <w:rPr>
          <w:rFonts w:ascii="Times New Roman" w:hAnsi="Times New Roman" w:cs="Times New Roman"/>
          <w:sz w:val="24"/>
          <w:szCs w:val="24"/>
        </w:rPr>
        <w:t xml:space="preserve"> 2211 </w:t>
      </w:r>
      <w:proofErr w:type="spellStart"/>
      <w:r w:rsidRPr="00E212A6">
        <w:rPr>
          <w:rFonts w:ascii="Times New Roman" w:hAnsi="Times New Roman" w:cs="Times New Roman"/>
          <w:sz w:val="24"/>
          <w:szCs w:val="24"/>
        </w:rPr>
        <w:t>MultiScale</w:t>
      </w:r>
      <w:proofErr w:type="spellEnd"/>
      <w:r w:rsidRPr="00E212A6">
        <w:rPr>
          <w:rFonts w:ascii="Times New Roman" w:hAnsi="Times New Roman" w:cs="Times New Roman"/>
          <w:sz w:val="24"/>
          <w:szCs w:val="24"/>
        </w:rPr>
        <w:t xml:space="preserve"> X-ray Nano-CT System</w:t>
      </w:r>
    </w:p>
    <w:p w14:paraId="45325A51" w14:textId="77777777" w:rsidR="00A7256B" w:rsidRPr="00E212A6" w:rsidRDefault="00A7256B" w:rsidP="00A7256B">
      <w:pPr>
        <w:pStyle w:val="ListParagraph"/>
        <w:numPr>
          <w:ilvl w:val="0"/>
          <w:numId w:val="6"/>
        </w:numPr>
        <w:rPr>
          <w:rFonts w:ascii="Times New Roman" w:hAnsi="Times New Roman" w:cs="Times New Roman"/>
          <w:i/>
          <w:sz w:val="24"/>
          <w:szCs w:val="24"/>
        </w:rPr>
      </w:pPr>
      <w:r w:rsidRPr="00E212A6">
        <w:rPr>
          <w:rFonts w:ascii="Times New Roman" w:hAnsi="Times New Roman" w:cs="Times New Roman"/>
          <w:i/>
          <w:sz w:val="24"/>
          <w:szCs w:val="24"/>
        </w:rPr>
        <w:t>Spectroscopy and Spectrometry</w:t>
      </w:r>
      <w:r>
        <w:rPr>
          <w:rFonts w:ascii="Times New Roman" w:hAnsi="Times New Roman" w:cs="Times New Roman"/>
          <w:i/>
          <w:sz w:val="24"/>
          <w:szCs w:val="24"/>
        </w:rPr>
        <w:t xml:space="preserve">- </w:t>
      </w:r>
      <w:r w:rsidRPr="00E212A6">
        <w:rPr>
          <w:rFonts w:ascii="Times New Roman" w:hAnsi="Times New Roman" w:cs="Times New Roman"/>
          <w:sz w:val="24"/>
          <w:szCs w:val="24"/>
        </w:rPr>
        <w:t>(</w:t>
      </w:r>
      <w:proofErr w:type="spellStart"/>
      <w:r w:rsidRPr="00E212A6">
        <w:rPr>
          <w:rFonts w:ascii="Times New Roman" w:hAnsi="Times New Roman" w:cs="Times New Roman"/>
          <w:sz w:val="24"/>
          <w:szCs w:val="24"/>
        </w:rPr>
        <w:t>i</w:t>
      </w:r>
      <w:proofErr w:type="spellEnd"/>
      <w:r w:rsidRPr="00E212A6">
        <w:rPr>
          <w:rFonts w:ascii="Times New Roman" w:hAnsi="Times New Roman" w:cs="Times New Roman"/>
          <w:sz w:val="24"/>
          <w:szCs w:val="24"/>
        </w:rPr>
        <w:t xml:space="preserve">) </w:t>
      </w:r>
      <w:proofErr w:type="spellStart"/>
      <w:r w:rsidRPr="00E212A6">
        <w:rPr>
          <w:rFonts w:ascii="Times New Roman" w:hAnsi="Times New Roman" w:cs="Times New Roman"/>
          <w:sz w:val="24"/>
          <w:szCs w:val="24"/>
        </w:rPr>
        <w:t>Magritek</w:t>
      </w:r>
      <w:proofErr w:type="spellEnd"/>
      <w:r w:rsidRPr="00E212A6">
        <w:rPr>
          <w:rFonts w:ascii="Times New Roman" w:hAnsi="Times New Roman" w:cs="Times New Roman"/>
          <w:sz w:val="24"/>
          <w:szCs w:val="24"/>
        </w:rPr>
        <w:t xml:space="preserve"> KEA MF 1-50 KEA2 Spectrometer: Dual Transmit </w:t>
      </w:r>
      <w:proofErr w:type="gramStart"/>
      <w:r w:rsidRPr="00E212A6">
        <w:rPr>
          <w:rFonts w:ascii="Times New Roman" w:hAnsi="Times New Roman" w:cs="Times New Roman"/>
          <w:sz w:val="24"/>
          <w:szCs w:val="24"/>
        </w:rPr>
        <w:t>Channels,  Frequency</w:t>
      </w:r>
      <w:proofErr w:type="gramEnd"/>
      <w:r w:rsidRPr="00E212A6">
        <w:rPr>
          <w:rFonts w:ascii="Times New Roman" w:hAnsi="Times New Roman" w:cs="Times New Roman"/>
          <w:sz w:val="24"/>
          <w:szCs w:val="24"/>
        </w:rPr>
        <w:t xml:space="preserve"> Range 1 MHz – 50 MHz, Fast USB2.0 DSP module, Broadband op-amp duplexer, 1 Watt amplifier</w:t>
      </w:r>
      <w:r>
        <w:rPr>
          <w:rFonts w:ascii="Times New Roman" w:hAnsi="Times New Roman" w:cs="Times New Roman"/>
          <w:sz w:val="24"/>
          <w:szCs w:val="24"/>
        </w:rPr>
        <w:t xml:space="preserve">; (ii) </w:t>
      </w:r>
      <w:r w:rsidRPr="00E212A6">
        <w:rPr>
          <w:rFonts w:ascii="Times New Roman" w:hAnsi="Times New Roman" w:cs="Times New Roman"/>
          <w:sz w:val="24"/>
          <w:szCs w:val="24"/>
        </w:rPr>
        <w:t>EDAX detector mounted on SEM to perform Energy Dispersive Spectroscopy (EDS)</w:t>
      </w:r>
    </w:p>
    <w:p w14:paraId="37BFABBE" w14:textId="77777777" w:rsidR="00A7256B" w:rsidRPr="00E212A6" w:rsidRDefault="00A7256B" w:rsidP="00A7256B">
      <w:pPr>
        <w:pStyle w:val="ListParagraph"/>
        <w:numPr>
          <w:ilvl w:val="0"/>
          <w:numId w:val="6"/>
        </w:numPr>
        <w:rPr>
          <w:rFonts w:ascii="Times New Roman" w:hAnsi="Times New Roman" w:cs="Times New Roman"/>
          <w:i/>
          <w:sz w:val="24"/>
          <w:szCs w:val="24"/>
        </w:rPr>
      </w:pPr>
      <w:r>
        <w:rPr>
          <w:rFonts w:ascii="Times New Roman" w:hAnsi="Times New Roman" w:cs="Times New Roman"/>
          <w:i/>
          <w:sz w:val="24"/>
          <w:szCs w:val="24"/>
        </w:rPr>
        <w:t xml:space="preserve">Microscopy and Circuit Edit- </w:t>
      </w: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E212A6">
        <w:rPr>
          <w:rFonts w:ascii="Times New Roman" w:hAnsi="Times New Roman" w:cs="Times New Roman"/>
          <w:sz w:val="24"/>
          <w:szCs w:val="24"/>
        </w:rPr>
        <w:t xml:space="preserve">TESCAN FERA-GM </w:t>
      </w:r>
      <w:proofErr w:type="spellStart"/>
      <w:r w:rsidRPr="00E212A6">
        <w:rPr>
          <w:rFonts w:ascii="Times New Roman" w:hAnsi="Times New Roman" w:cs="Times New Roman"/>
          <w:sz w:val="24"/>
          <w:szCs w:val="24"/>
        </w:rPr>
        <w:t>Xe</w:t>
      </w:r>
      <w:proofErr w:type="spellEnd"/>
      <w:r w:rsidRPr="00E212A6">
        <w:rPr>
          <w:rFonts w:ascii="Times New Roman" w:hAnsi="Times New Roman" w:cs="Times New Roman"/>
          <w:sz w:val="24"/>
          <w:szCs w:val="24"/>
        </w:rPr>
        <w:t xml:space="preserve"> Plasma FIB-SEM</w:t>
      </w:r>
      <w:r>
        <w:rPr>
          <w:rFonts w:ascii="Times New Roman" w:hAnsi="Times New Roman" w:cs="Times New Roman"/>
          <w:sz w:val="24"/>
          <w:szCs w:val="24"/>
        </w:rPr>
        <w:t xml:space="preserve">; (ii) </w:t>
      </w:r>
      <w:r w:rsidRPr="00E212A6">
        <w:rPr>
          <w:rFonts w:ascii="Times New Roman" w:hAnsi="Times New Roman" w:cs="Times New Roman"/>
          <w:sz w:val="24"/>
          <w:szCs w:val="24"/>
        </w:rPr>
        <w:t>TESCAN LYRA-XM Ga LMIS FIB-SEM</w:t>
      </w:r>
      <w:r>
        <w:rPr>
          <w:rFonts w:ascii="Times New Roman" w:hAnsi="Times New Roman" w:cs="Times New Roman"/>
          <w:sz w:val="24"/>
          <w:szCs w:val="24"/>
        </w:rPr>
        <w:t xml:space="preserve">; (iii) ZEISS ORION </w:t>
      </w:r>
      <w:proofErr w:type="spellStart"/>
      <w:r w:rsidRPr="00E212A6">
        <w:rPr>
          <w:rFonts w:ascii="Times New Roman" w:hAnsi="Times New Roman" w:cs="Times New Roman"/>
          <w:sz w:val="24"/>
          <w:szCs w:val="24"/>
        </w:rPr>
        <w:t>NanoFab</w:t>
      </w:r>
      <w:proofErr w:type="spellEnd"/>
      <w:r w:rsidRPr="00E212A6">
        <w:rPr>
          <w:rFonts w:ascii="Times New Roman" w:hAnsi="Times New Roman" w:cs="Times New Roman"/>
          <w:sz w:val="24"/>
          <w:szCs w:val="24"/>
        </w:rPr>
        <w:t xml:space="preserve"> He-Ne System</w:t>
      </w:r>
    </w:p>
    <w:p w14:paraId="4F2C7B74" w14:textId="77777777" w:rsidR="00A7256B" w:rsidRPr="00D87890" w:rsidRDefault="00A7256B" w:rsidP="00A7256B">
      <w:pPr>
        <w:jc w:val="both"/>
        <w:rPr>
          <w:rFonts w:ascii="Times New Roman" w:hAnsi="Times New Roman" w:cs="Times New Roman"/>
          <w:i/>
          <w:u w:val="single"/>
        </w:rPr>
      </w:pPr>
      <w:r w:rsidRPr="00D87890">
        <w:rPr>
          <w:rFonts w:ascii="Times New Roman" w:hAnsi="Times New Roman" w:cs="Times New Roman"/>
          <w:i/>
          <w:u w:val="single"/>
        </w:rPr>
        <w:t>II. Electrical Test Equipment:</w:t>
      </w:r>
    </w:p>
    <w:p w14:paraId="7888EC66" w14:textId="77777777" w:rsidR="00A7256B" w:rsidRDefault="00A7256B" w:rsidP="00A7256B">
      <w:pPr>
        <w:pStyle w:val="ListParagraph"/>
        <w:numPr>
          <w:ilvl w:val="0"/>
          <w:numId w:val="4"/>
        </w:numPr>
        <w:spacing w:line="240" w:lineRule="auto"/>
        <w:jc w:val="both"/>
        <w:rPr>
          <w:rFonts w:ascii="Times New Roman" w:hAnsi="Times New Roman" w:cs="Times New Roman"/>
          <w:sz w:val="24"/>
          <w:szCs w:val="24"/>
        </w:rPr>
      </w:pPr>
      <w:r w:rsidRPr="00D87890">
        <w:rPr>
          <w:rFonts w:ascii="Times New Roman" w:hAnsi="Times New Roman" w:cs="Times New Roman"/>
          <w:i/>
          <w:sz w:val="24"/>
          <w:szCs w:val="24"/>
        </w:rPr>
        <w:t>Automatic Testing Equipment (ATE)-</w:t>
      </w:r>
      <w:r>
        <w:rPr>
          <w:rFonts w:ascii="Times New Roman" w:hAnsi="Times New Roman" w:cs="Times New Roman"/>
          <w:sz w:val="24"/>
          <w:szCs w:val="24"/>
        </w:rPr>
        <w:t xml:space="preserve"> </w:t>
      </w:r>
      <w:proofErr w:type="spellStart"/>
      <w:r w:rsidRPr="0023507F">
        <w:rPr>
          <w:rFonts w:ascii="Times New Roman" w:hAnsi="Times New Roman" w:cs="Times New Roman"/>
          <w:sz w:val="24"/>
          <w:szCs w:val="24"/>
        </w:rPr>
        <w:t>Verigy</w:t>
      </w:r>
      <w:proofErr w:type="spellEnd"/>
      <w:r w:rsidRPr="0023507F">
        <w:rPr>
          <w:rFonts w:ascii="Times New Roman" w:hAnsi="Times New Roman" w:cs="Times New Roman"/>
          <w:sz w:val="24"/>
          <w:szCs w:val="24"/>
        </w:rPr>
        <w:t xml:space="preserve"> Ocelot ZFP, </w:t>
      </w:r>
      <w:proofErr w:type="spellStart"/>
      <w:r w:rsidRPr="0023507F">
        <w:rPr>
          <w:rFonts w:ascii="Times New Roman" w:hAnsi="Times New Roman" w:cs="Times New Roman"/>
          <w:sz w:val="24"/>
          <w:szCs w:val="24"/>
        </w:rPr>
        <w:t>Loadboard</w:t>
      </w:r>
      <w:proofErr w:type="spellEnd"/>
      <w:r w:rsidRPr="0023507F">
        <w:rPr>
          <w:rFonts w:ascii="Times New Roman" w:hAnsi="Times New Roman" w:cs="Times New Roman"/>
          <w:sz w:val="24"/>
          <w:szCs w:val="24"/>
        </w:rPr>
        <w:t xml:space="preserve"> designed for </w:t>
      </w:r>
      <w:proofErr w:type="spellStart"/>
      <w:r w:rsidRPr="0023507F">
        <w:rPr>
          <w:rFonts w:ascii="Times New Roman" w:hAnsi="Times New Roman" w:cs="Times New Roman"/>
          <w:sz w:val="24"/>
          <w:szCs w:val="24"/>
        </w:rPr>
        <w:t>acelot</w:t>
      </w:r>
      <w:proofErr w:type="spellEnd"/>
      <w:r w:rsidRPr="0023507F">
        <w:rPr>
          <w:rFonts w:ascii="Times New Roman" w:hAnsi="Times New Roman" w:cs="Times New Roman"/>
          <w:sz w:val="24"/>
          <w:szCs w:val="24"/>
        </w:rPr>
        <w:t xml:space="preserve"> ZFP, and ASIC test setup using FPGA board</w:t>
      </w:r>
    </w:p>
    <w:p w14:paraId="37E20E66" w14:textId="77777777" w:rsidR="00A7256B" w:rsidRPr="00D87890" w:rsidRDefault="00A7256B" w:rsidP="00A7256B">
      <w:pPr>
        <w:pStyle w:val="ListParagraph"/>
        <w:numPr>
          <w:ilvl w:val="0"/>
          <w:numId w:val="4"/>
        </w:numPr>
        <w:rPr>
          <w:rFonts w:ascii="Times New Roman" w:hAnsi="Times New Roman" w:cs="Times New Roman"/>
          <w:i/>
          <w:sz w:val="24"/>
          <w:szCs w:val="24"/>
        </w:rPr>
      </w:pPr>
      <w:r w:rsidRPr="00D87890">
        <w:rPr>
          <w:rFonts w:ascii="Times New Roman" w:hAnsi="Times New Roman" w:cs="Times New Roman"/>
          <w:i/>
          <w:sz w:val="24"/>
          <w:szCs w:val="24"/>
        </w:rPr>
        <w:t xml:space="preserve">Burn-in Test and Thermal Cycling Setup- </w:t>
      </w:r>
      <w:proofErr w:type="spellStart"/>
      <w:r w:rsidRPr="00D87890">
        <w:rPr>
          <w:rFonts w:ascii="Times New Roman" w:hAnsi="Times New Roman" w:cs="Times New Roman"/>
          <w:sz w:val="24"/>
          <w:szCs w:val="24"/>
        </w:rPr>
        <w:t>Temptronic</w:t>
      </w:r>
      <w:proofErr w:type="spellEnd"/>
      <w:r w:rsidRPr="00D87890">
        <w:rPr>
          <w:rFonts w:ascii="Times New Roman" w:hAnsi="Times New Roman" w:cs="Times New Roman"/>
          <w:sz w:val="24"/>
          <w:szCs w:val="24"/>
        </w:rPr>
        <w:t xml:space="preserve"> Bench Top Temperature Test </w:t>
      </w:r>
      <w:proofErr w:type="gramStart"/>
      <w:r w:rsidRPr="00D87890">
        <w:rPr>
          <w:rFonts w:ascii="Times New Roman" w:hAnsi="Times New Roman" w:cs="Times New Roman"/>
          <w:sz w:val="24"/>
          <w:szCs w:val="24"/>
        </w:rPr>
        <w:t>System  ATS</w:t>
      </w:r>
      <w:proofErr w:type="gramEnd"/>
      <w:r w:rsidRPr="00D87890">
        <w:rPr>
          <w:rFonts w:ascii="Times New Roman" w:hAnsi="Times New Roman" w:cs="Times New Roman"/>
          <w:sz w:val="24"/>
          <w:szCs w:val="24"/>
        </w:rPr>
        <w:t xml:space="preserve"> 605 </w:t>
      </w:r>
      <w:proofErr w:type="spellStart"/>
      <w:r w:rsidRPr="00D87890">
        <w:rPr>
          <w:rFonts w:ascii="Times New Roman" w:hAnsi="Times New Roman" w:cs="Times New Roman"/>
          <w:sz w:val="24"/>
          <w:szCs w:val="24"/>
        </w:rPr>
        <w:t>Thermostream</w:t>
      </w:r>
      <w:proofErr w:type="spellEnd"/>
      <w:r w:rsidRPr="00D87890">
        <w:rPr>
          <w:rFonts w:ascii="Times New Roman" w:hAnsi="Times New Roman" w:cs="Times New Roman"/>
          <w:sz w:val="24"/>
          <w:szCs w:val="24"/>
        </w:rPr>
        <w:t>, -20 to +225°C</w:t>
      </w:r>
    </w:p>
    <w:p w14:paraId="764F36F1" w14:textId="77777777" w:rsidR="00A7256B" w:rsidRDefault="00A7256B" w:rsidP="00A7256B">
      <w:pPr>
        <w:pStyle w:val="ListParagraph"/>
        <w:numPr>
          <w:ilvl w:val="0"/>
          <w:numId w:val="4"/>
        </w:numPr>
        <w:rPr>
          <w:rFonts w:ascii="Times New Roman" w:hAnsi="Times New Roman" w:cs="Times New Roman"/>
          <w:sz w:val="24"/>
          <w:szCs w:val="24"/>
        </w:rPr>
      </w:pPr>
      <w:r w:rsidRPr="00D87890">
        <w:rPr>
          <w:rFonts w:ascii="Times New Roman" w:hAnsi="Times New Roman" w:cs="Times New Roman"/>
          <w:i/>
          <w:sz w:val="24"/>
          <w:szCs w:val="24"/>
        </w:rPr>
        <w:lastRenderedPageBreak/>
        <w:t>Mixed Signal Oscilloscopes-</w:t>
      </w:r>
      <w:r w:rsidRPr="0023507F">
        <w:rPr>
          <w:rFonts w:ascii="Times New Roman" w:hAnsi="Times New Roman" w:cs="Times New Roman"/>
          <w:sz w:val="24"/>
          <w:szCs w:val="24"/>
        </w:rPr>
        <w:t xml:space="preserve"> (</w:t>
      </w:r>
      <w:proofErr w:type="spellStart"/>
      <w:r w:rsidRPr="0023507F">
        <w:rPr>
          <w:rFonts w:ascii="Times New Roman" w:hAnsi="Times New Roman" w:cs="Times New Roman"/>
          <w:sz w:val="24"/>
          <w:szCs w:val="24"/>
        </w:rPr>
        <w:t>i</w:t>
      </w:r>
      <w:proofErr w:type="spellEnd"/>
      <w:r w:rsidRPr="0023507F">
        <w:rPr>
          <w:rFonts w:ascii="Times New Roman" w:hAnsi="Times New Roman" w:cs="Times New Roman"/>
          <w:sz w:val="24"/>
          <w:szCs w:val="24"/>
        </w:rPr>
        <w:t>) Tektronix MSO70404C, 4 GHz Mixed Signal Oscilloscope; 4 analog / 16 logic channels; (ii) Tektronix MSO2022B Mixed Signal Oscilloscope; Digital Phosphor, 200 MHz, 1 GS/s, 1M record length, 2+16−ch; (iii) Tektronix MDO3102 Mixed Domain Oscilloscope; (2) 1GHz analog channels, 10M record length, 1GHz spectrum analyzer</w:t>
      </w:r>
    </w:p>
    <w:p w14:paraId="25DC7BAD" w14:textId="5E233C70" w:rsidR="00A7256B" w:rsidRPr="00A7256B" w:rsidRDefault="00A7256B" w:rsidP="00A7256B">
      <w:pPr>
        <w:pStyle w:val="ListParagraph"/>
        <w:numPr>
          <w:ilvl w:val="0"/>
          <w:numId w:val="4"/>
        </w:numPr>
        <w:rPr>
          <w:rFonts w:ascii="Times New Roman" w:hAnsi="Times New Roman" w:cs="Times New Roman"/>
          <w:sz w:val="24"/>
          <w:szCs w:val="24"/>
        </w:rPr>
      </w:pPr>
      <w:r>
        <w:rPr>
          <w:rFonts w:ascii="Times New Roman" w:hAnsi="Times New Roman" w:cs="Times New Roman"/>
          <w:i/>
          <w:sz w:val="24"/>
          <w:szCs w:val="24"/>
        </w:rPr>
        <w:t>USB Protocol Analyzer –</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Ellisys</w:t>
      </w:r>
      <w:proofErr w:type="spellEnd"/>
      <w:r>
        <w:rPr>
          <w:rFonts w:ascii="Times New Roman" w:hAnsi="Times New Roman" w:cs="Times New Roman"/>
          <w:sz w:val="24"/>
          <w:szCs w:val="24"/>
        </w:rPr>
        <w:t xml:space="preserve"> USB Explorer 200 Protocol Analyzer</w:t>
      </w:r>
    </w:p>
    <w:p w14:paraId="57FBBE39" w14:textId="77777777" w:rsidR="00A7256B" w:rsidRPr="000E36A8" w:rsidRDefault="00A7256B" w:rsidP="00A7256B">
      <w:pPr>
        <w:pStyle w:val="ListParagraph"/>
        <w:numPr>
          <w:ilvl w:val="0"/>
          <w:numId w:val="4"/>
        </w:numPr>
        <w:rPr>
          <w:rFonts w:ascii="Times New Roman" w:hAnsi="Times New Roman" w:cs="Times New Roman"/>
          <w:sz w:val="24"/>
          <w:szCs w:val="24"/>
        </w:rPr>
      </w:pPr>
      <w:r w:rsidRPr="000E36A8">
        <w:rPr>
          <w:rFonts w:ascii="Times New Roman" w:hAnsi="Times New Roman" w:cs="Times New Roman"/>
          <w:i/>
          <w:sz w:val="24"/>
          <w:szCs w:val="24"/>
        </w:rPr>
        <w:t xml:space="preserve">Digital Oscilloscopes- </w:t>
      </w:r>
      <w:r w:rsidRPr="000E36A8">
        <w:rPr>
          <w:rFonts w:ascii="Times New Roman" w:hAnsi="Times New Roman" w:cs="Times New Roman"/>
          <w:sz w:val="24"/>
          <w:szCs w:val="24"/>
        </w:rPr>
        <w:t>(</w:t>
      </w:r>
      <w:proofErr w:type="spellStart"/>
      <w:r w:rsidRPr="000E36A8">
        <w:rPr>
          <w:rFonts w:ascii="Times New Roman" w:hAnsi="Times New Roman" w:cs="Times New Roman"/>
          <w:sz w:val="24"/>
          <w:szCs w:val="24"/>
        </w:rPr>
        <w:t>i</w:t>
      </w:r>
      <w:proofErr w:type="spellEnd"/>
      <w:r w:rsidRPr="000E36A8">
        <w:rPr>
          <w:rFonts w:ascii="Times New Roman" w:hAnsi="Times New Roman" w:cs="Times New Roman"/>
          <w:sz w:val="24"/>
          <w:szCs w:val="24"/>
        </w:rPr>
        <w:t>) Tektronix DSA8300 Digital Serial Analyzer Sampling Oscilloscope; (ii) Tektronix TDS3032C DPO, 300MHZ, 2.5 GS/S, 2 CHANNEL; (iii) Tektronix TBS1202B−EDU Digital Storage Oscilloscope: 200MHz bandwidth, 2GS/s sample rate, 2 channel, 2.5K record length</w:t>
      </w:r>
    </w:p>
    <w:p w14:paraId="6FBD8884" w14:textId="77777777" w:rsidR="00A7256B" w:rsidRPr="0023507F" w:rsidRDefault="00A7256B" w:rsidP="00A7256B">
      <w:pPr>
        <w:pStyle w:val="ListParagraph"/>
        <w:numPr>
          <w:ilvl w:val="0"/>
          <w:numId w:val="4"/>
        </w:numPr>
        <w:rPr>
          <w:rFonts w:ascii="Times New Roman" w:hAnsi="Times New Roman" w:cs="Times New Roman"/>
          <w:sz w:val="24"/>
          <w:szCs w:val="24"/>
        </w:rPr>
      </w:pPr>
      <w:r w:rsidRPr="00D87890">
        <w:rPr>
          <w:rFonts w:ascii="Times New Roman" w:hAnsi="Times New Roman" w:cs="Times New Roman"/>
          <w:i/>
          <w:sz w:val="24"/>
          <w:szCs w:val="24"/>
        </w:rPr>
        <w:t>Logic Analyzers-</w:t>
      </w:r>
      <w:r w:rsidRPr="0023507F">
        <w:rPr>
          <w:rFonts w:ascii="Times New Roman" w:hAnsi="Times New Roman" w:cs="Times New Roman"/>
          <w:sz w:val="24"/>
          <w:szCs w:val="24"/>
        </w:rPr>
        <w:t xml:space="preserve"> (</w:t>
      </w:r>
      <w:proofErr w:type="spellStart"/>
      <w:r w:rsidRPr="0023507F">
        <w:rPr>
          <w:rFonts w:ascii="Times New Roman" w:hAnsi="Times New Roman" w:cs="Times New Roman"/>
          <w:sz w:val="24"/>
          <w:szCs w:val="24"/>
        </w:rPr>
        <w:t>i</w:t>
      </w:r>
      <w:proofErr w:type="spellEnd"/>
      <w:r w:rsidRPr="0023507F">
        <w:rPr>
          <w:rFonts w:ascii="Times New Roman" w:hAnsi="Times New Roman" w:cs="Times New Roman"/>
          <w:sz w:val="24"/>
          <w:szCs w:val="24"/>
        </w:rPr>
        <w:t xml:space="preserve">) Tektronix TLA6401 34 Channel, 25 GHz </w:t>
      </w:r>
      <w:proofErr w:type="spellStart"/>
      <w:r w:rsidRPr="0023507F">
        <w:rPr>
          <w:rFonts w:ascii="Times New Roman" w:hAnsi="Times New Roman" w:cs="Times New Roman"/>
          <w:sz w:val="24"/>
          <w:szCs w:val="24"/>
        </w:rPr>
        <w:t>MagniVu</w:t>
      </w:r>
      <w:proofErr w:type="spellEnd"/>
      <w:r w:rsidRPr="0023507F">
        <w:rPr>
          <w:rFonts w:ascii="Times New Roman" w:hAnsi="Times New Roman" w:cs="Times New Roman"/>
          <w:sz w:val="24"/>
          <w:szCs w:val="24"/>
        </w:rPr>
        <w:t xml:space="preserve"> Timing, 333 MHz State Clock, 2Mb Record Length Logic Analyzer; (ii) Tektronix TLA6404 136 Channel, 25 GHz </w:t>
      </w:r>
      <w:proofErr w:type="spellStart"/>
      <w:r w:rsidRPr="0023507F">
        <w:rPr>
          <w:rFonts w:ascii="Times New Roman" w:hAnsi="Times New Roman" w:cs="Times New Roman"/>
          <w:sz w:val="24"/>
          <w:szCs w:val="24"/>
        </w:rPr>
        <w:t>MagniVu</w:t>
      </w:r>
      <w:proofErr w:type="spellEnd"/>
      <w:r w:rsidRPr="0023507F">
        <w:rPr>
          <w:rFonts w:ascii="Times New Roman" w:hAnsi="Times New Roman" w:cs="Times New Roman"/>
          <w:sz w:val="24"/>
          <w:szCs w:val="24"/>
        </w:rPr>
        <w:t xml:space="preserve"> Timing, 333 MHz State Clock, 2Mb Record Length Logic Analyzer</w:t>
      </w:r>
    </w:p>
    <w:p w14:paraId="552B1ACD" w14:textId="77777777" w:rsidR="00A7256B" w:rsidRPr="00C91F8C" w:rsidRDefault="00A7256B" w:rsidP="00A7256B">
      <w:pPr>
        <w:pStyle w:val="ListParagraph"/>
        <w:numPr>
          <w:ilvl w:val="0"/>
          <w:numId w:val="4"/>
        </w:numPr>
        <w:rPr>
          <w:rFonts w:ascii="Times New Roman" w:hAnsi="Times New Roman" w:cs="Times New Roman"/>
          <w:sz w:val="24"/>
          <w:szCs w:val="24"/>
        </w:rPr>
      </w:pPr>
      <w:r>
        <w:rPr>
          <w:rFonts w:ascii="Times New Roman" w:hAnsi="Times New Roman" w:cs="Times New Roman"/>
          <w:i/>
          <w:sz w:val="24"/>
          <w:szCs w:val="24"/>
        </w:rPr>
        <w:t xml:space="preserve">Spectrum </w:t>
      </w:r>
      <w:r w:rsidRPr="00C91F8C">
        <w:rPr>
          <w:rFonts w:ascii="Times New Roman" w:hAnsi="Times New Roman" w:cs="Times New Roman"/>
          <w:i/>
          <w:sz w:val="24"/>
          <w:szCs w:val="24"/>
        </w:rPr>
        <w:t xml:space="preserve">Analyzers- </w:t>
      </w:r>
      <w:r w:rsidRPr="00C91F8C">
        <w:rPr>
          <w:rFonts w:ascii="Times New Roman" w:hAnsi="Times New Roman" w:cs="Times New Roman"/>
          <w:sz w:val="24"/>
          <w:szCs w:val="24"/>
        </w:rPr>
        <w:t>(</w:t>
      </w:r>
      <w:proofErr w:type="spellStart"/>
      <w:r w:rsidRPr="00C91F8C">
        <w:rPr>
          <w:rFonts w:ascii="Times New Roman" w:hAnsi="Times New Roman" w:cs="Times New Roman"/>
          <w:sz w:val="24"/>
          <w:szCs w:val="24"/>
        </w:rPr>
        <w:t>i</w:t>
      </w:r>
      <w:proofErr w:type="spellEnd"/>
      <w:r w:rsidRPr="00C91F8C">
        <w:rPr>
          <w:rFonts w:ascii="Times New Roman" w:hAnsi="Times New Roman" w:cs="Times New Roman"/>
          <w:sz w:val="24"/>
          <w:szCs w:val="24"/>
        </w:rPr>
        <w:t>) Tektronix PA1000 Single−Phase Power Analyzer</w:t>
      </w:r>
      <w:r>
        <w:rPr>
          <w:rFonts w:ascii="Times New Roman" w:hAnsi="Times New Roman" w:cs="Times New Roman"/>
          <w:sz w:val="24"/>
          <w:szCs w:val="24"/>
        </w:rPr>
        <w:t xml:space="preserve">; (ii) </w:t>
      </w:r>
      <w:r w:rsidRPr="00C91F8C">
        <w:rPr>
          <w:rFonts w:ascii="Times New Roman" w:hAnsi="Times New Roman" w:cs="Times New Roman"/>
          <w:sz w:val="24"/>
          <w:szCs w:val="24"/>
        </w:rPr>
        <w:t>Tektronix RSA5115B Real Time Signal Analyzer 1 Hz−15 GHz</w:t>
      </w:r>
    </w:p>
    <w:p w14:paraId="71B00535" w14:textId="77777777" w:rsidR="00A7256B" w:rsidRPr="000E36A8" w:rsidRDefault="00A7256B" w:rsidP="00A7256B">
      <w:pPr>
        <w:pStyle w:val="ListParagraph"/>
        <w:numPr>
          <w:ilvl w:val="0"/>
          <w:numId w:val="4"/>
        </w:numPr>
        <w:rPr>
          <w:rFonts w:ascii="Times New Roman" w:hAnsi="Times New Roman" w:cs="Times New Roman"/>
          <w:sz w:val="24"/>
          <w:szCs w:val="24"/>
        </w:rPr>
      </w:pPr>
      <w:r w:rsidRPr="000E36A8">
        <w:rPr>
          <w:rFonts w:ascii="Times New Roman" w:hAnsi="Times New Roman" w:cs="Times New Roman"/>
          <w:i/>
          <w:sz w:val="24"/>
          <w:szCs w:val="24"/>
        </w:rPr>
        <w:t>Arbitrary Waveform Generator-</w:t>
      </w:r>
      <w:r>
        <w:rPr>
          <w:rFonts w:ascii="Times New Roman" w:hAnsi="Times New Roman" w:cs="Times New Roman"/>
          <w:i/>
          <w:sz w:val="24"/>
          <w:szCs w:val="24"/>
        </w:rPr>
        <w:t xml:space="preserve"> </w:t>
      </w:r>
      <w:proofErr w:type="spellStart"/>
      <w:r w:rsidRPr="007C4E22">
        <w:rPr>
          <w:rFonts w:ascii="Times New Roman" w:hAnsi="Times New Roman" w:cs="Times New Roman"/>
          <w:sz w:val="24"/>
          <w:szCs w:val="24"/>
        </w:rPr>
        <w:t>Keithley</w:t>
      </w:r>
      <w:proofErr w:type="spellEnd"/>
      <w:r w:rsidRPr="007C4E22">
        <w:rPr>
          <w:rFonts w:ascii="Times New Roman" w:hAnsi="Times New Roman" w:cs="Times New Roman"/>
          <w:i/>
          <w:sz w:val="24"/>
          <w:szCs w:val="24"/>
        </w:rPr>
        <w:t xml:space="preserve"> </w:t>
      </w:r>
      <w:r w:rsidRPr="000E36A8">
        <w:rPr>
          <w:rFonts w:ascii="Times New Roman" w:hAnsi="Times New Roman" w:cs="Times New Roman"/>
          <w:sz w:val="24"/>
          <w:szCs w:val="24"/>
        </w:rPr>
        <w:t>3390 50MHz Arbitrary Waveform Generator</w:t>
      </w:r>
    </w:p>
    <w:p w14:paraId="08C4C130" w14:textId="77777777" w:rsidR="00A7256B" w:rsidRPr="000E36A8" w:rsidRDefault="00A7256B" w:rsidP="00A7256B">
      <w:pPr>
        <w:pStyle w:val="ListParagraph"/>
        <w:numPr>
          <w:ilvl w:val="0"/>
          <w:numId w:val="4"/>
        </w:numPr>
        <w:rPr>
          <w:rFonts w:ascii="Times New Roman" w:hAnsi="Times New Roman" w:cs="Times New Roman"/>
          <w:sz w:val="24"/>
          <w:szCs w:val="24"/>
        </w:rPr>
      </w:pPr>
      <w:r w:rsidRPr="000E36A8">
        <w:rPr>
          <w:rFonts w:ascii="Times New Roman" w:hAnsi="Times New Roman" w:cs="Times New Roman"/>
          <w:i/>
          <w:sz w:val="24"/>
          <w:szCs w:val="24"/>
        </w:rPr>
        <w:t xml:space="preserve">Arbitrary Function Generators- </w:t>
      </w:r>
      <w:r w:rsidRPr="000E36A8">
        <w:rPr>
          <w:rFonts w:ascii="Times New Roman" w:hAnsi="Times New Roman" w:cs="Times New Roman"/>
          <w:sz w:val="24"/>
          <w:szCs w:val="24"/>
        </w:rPr>
        <w:t>(</w:t>
      </w:r>
      <w:proofErr w:type="spellStart"/>
      <w:r w:rsidRPr="000E36A8">
        <w:rPr>
          <w:rFonts w:ascii="Times New Roman" w:hAnsi="Times New Roman" w:cs="Times New Roman"/>
          <w:sz w:val="24"/>
          <w:szCs w:val="24"/>
        </w:rPr>
        <w:t>i</w:t>
      </w:r>
      <w:proofErr w:type="spellEnd"/>
      <w:r w:rsidRPr="000E36A8">
        <w:rPr>
          <w:rFonts w:ascii="Times New Roman" w:hAnsi="Times New Roman" w:cs="Times New Roman"/>
          <w:sz w:val="24"/>
          <w:szCs w:val="24"/>
        </w:rPr>
        <w:t>) Tektronix AFG3101C Arbitrary Function Generator: 1Channel, 100MHz Bandwidth, 1GSa/s sampling rate, 128k points arbitrary waveform memory, 14−bit vertical resolution, 10Vpp to 50ohm; (ii) Tektronix AFG3252C Arbitrary Function Generator: 2Channel, 240MHz Bandwidth, 2GMSa/s sampling rate, 128k points arbitrary waveform memory, 14−bit vertical resolution, 5Vpp to 50ohm</w:t>
      </w:r>
    </w:p>
    <w:p w14:paraId="7F33F685" w14:textId="77777777" w:rsidR="00A7256B" w:rsidRPr="00D81106" w:rsidRDefault="00A7256B" w:rsidP="00A7256B">
      <w:pPr>
        <w:pStyle w:val="ListParagraph"/>
        <w:numPr>
          <w:ilvl w:val="0"/>
          <w:numId w:val="4"/>
        </w:numPr>
        <w:rPr>
          <w:rFonts w:ascii="Times New Roman" w:hAnsi="Times New Roman" w:cs="Times New Roman"/>
          <w:sz w:val="24"/>
          <w:szCs w:val="24"/>
        </w:rPr>
      </w:pPr>
      <w:r w:rsidRPr="00D81106">
        <w:rPr>
          <w:rFonts w:ascii="Times New Roman" w:hAnsi="Times New Roman" w:cs="Times New Roman"/>
          <w:i/>
          <w:sz w:val="24"/>
          <w:szCs w:val="24"/>
        </w:rPr>
        <w:t xml:space="preserve">Power Supplies- </w:t>
      </w:r>
      <w:r w:rsidRPr="00D81106">
        <w:rPr>
          <w:rFonts w:ascii="Times New Roman" w:hAnsi="Times New Roman" w:cs="Times New Roman"/>
          <w:sz w:val="24"/>
          <w:szCs w:val="24"/>
        </w:rPr>
        <w:t>(</w:t>
      </w:r>
      <w:proofErr w:type="spellStart"/>
      <w:r w:rsidRPr="00D81106">
        <w:rPr>
          <w:rFonts w:ascii="Times New Roman" w:hAnsi="Times New Roman" w:cs="Times New Roman"/>
          <w:sz w:val="24"/>
          <w:szCs w:val="24"/>
        </w:rPr>
        <w:t>i</w:t>
      </w:r>
      <w:proofErr w:type="spellEnd"/>
      <w:r w:rsidRPr="00D81106">
        <w:rPr>
          <w:rFonts w:ascii="Times New Roman" w:hAnsi="Times New Roman" w:cs="Times New Roman"/>
          <w:sz w:val="24"/>
          <w:szCs w:val="24"/>
        </w:rPr>
        <w:t xml:space="preserve">) </w:t>
      </w:r>
      <w:proofErr w:type="spellStart"/>
      <w:r w:rsidRPr="00D81106">
        <w:rPr>
          <w:rFonts w:ascii="Times New Roman" w:hAnsi="Times New Roman" w:cs="Times New Roman"/>
          <w:sz w:val="24"/>
          <w:szCs w:val="24"/>
        </w:rPr>
        <w:t>Keithley</w:t>
      </w:r>
      <w:proofErr w:type="spellEnd"/>
      <w:r w:rsidRPr="00D81106">
        <w:rPr>
          <w:rFonts w:ascii="Times New Roman" w:hAnsi="Times New Roman" w:cs="Times New Roman"/>
          <w:sz w:val="24"/>
          <w:szCs w:val="24"/>
        </w:rPr>
        <w:t xml:space="preserve"> 2200−20−5 Power Supply, 20 Vol</w:t>
      </w:r>
      <w:r>
        <w:rPr>
          <w:rFonts w:ascii="Times New Roman" w:hAnsi="Times New Roman" w:cs="Times New Roman"/>
          <w:sz w:val="24"/>
          <w:szCs w:val="24"/>
        </w:rPr>
        <w:t xml:space="preserve">ts, 5 Amps DC Programmable; (ii) </w:t>
      </w:r>
      <w:proofErr w:type="spellStart"/>
      <w:r w:rsidRPr="00D81106">
        <w:rPr>
          <w:rFonts w:ascii="Times New Roman" w:hAnsi="Times New Roman" w:cs="Times New Roman"/>
          <w:sz w:val="24"/>
          <w:szCs w:val="24"/>
        </w:rPr>
        <w:t>Keithley</w:t>
      </w:r>
      <w:proofErr w:type="spellEnd"/>
      <w:r w:rsidRPr="00D81106">
        <w:rPr>
          <w:rFonts w:ascii="Times New Roman" w:hAnsi="Times New Roman" w:cs="Times New Roman"/>
          <w:sz w:val="24"/>
          <w:szCs w:val="24"/>
        </w:rPr>
        <w:t xml:space="preserve"> PWS2185 Power Supply,0−18 V, 5 Amp DC; </w:t>
      </w:r>
      <w:r>
        <w:rPr>
          <w:rFonts w:ascii="Times New Roman" w:hAnsi="Times New Roman" w:cs="Times New Roman"/>
          <w:sz w:val="24"/>
          <w:szCs w:val="24"/>
        </w:rPr>
        <w:t xml:space="preserve">(iii) </w:t>
      </w:r>
      <w:proofErr w:type="spellStart"/>
      <w:r w:rsidRPr="00D81106">
        <w:rPr>
          <w:rFonts w:ascii="Times New Roman" w:hAnsi="Times New Roman" w:cs="Times New Roman"/>
          <w:sz w:val="24"/>
          <w:szCs w:val="24"/>
        </w:rPr>
        <w:t>Keithley</w:t>
      </w:r>
      <w:proofErr w:type="spellEnd"/>
      <w:r w:rsidRPr="00D81106">
        <w:rPr>
          <w:rFonts w:ascii="Times New Roman" w:hAnsi="Times New Roman" w:cs="Times New Roman"/>
          <w:sz w:val="24"/>
          <w:szCs w:val="24"/>
        </w:rPr>
        <w:t xml:space="preserve"> 2231A−30−3 Manual Triple Channel DC Power Supply</w:t>
      </w:r>
    </w:p>
    <w:p w14:paraId="07855357" w14:textId="77777777" w:rsidR="00A7256B" w:rsidRDefault="00A7256B" w:rsidP="00A7256B">
      <w:pPr>
        <w:pStyle w:val="ListParagraph"/>
        <w:numPr>
          <w:ilvl w:val="0"/>
          <w:numId w:val="4"/>
        </w:numPr>
        <w:rPr>
          <w:rFonts w:ascii="Times New Roman" w:hAnsi="Times New Roman" w:cs="Times New Roman"/>
          <w:sz w:val="24"/>
          <w:szCs w:val="24"/>
        </w:rPr>
      </w:pPr>
      <w:r w:rsidRPr="00C91F8C">
        <w:rPr>
          <w:rFonts w:ascii="Times New Roman" w:hAnsi="Times New Roman" w:cs="Times New Roman"/>
          <w:i/>
          <w:sz w:val="24"/>
          <w:szCs w:val="24"/>
        </w:rPr>
        <w:t xml:space="preserve">Digital </w:t>
      </w:r>
      <w:proofErr w:type="spellStart"/>
      <w:r w:rsidRPr="00C91F8C">
        <w:rPr>
          <w:rFonts w:ascii="Times New Roman" w:hAnsi="Times New Roman" w:cs="Times New Roman"/>
          <w:i/>
          <w:sz w:val="24"/>
          <w:szCs w:val="24"/>
        </w:rPr>
        <w:t>Multimeters</w:t>
      </w:r>
      <w:proofErr w:type="spellEnd"/>
      <w:r w:rsidRPr="00C91F8C">
        <w:rPr>
          <w:rFonts w:ascii="Times New Roman" w:hAnsi="Times New Roman" w:cs="Times New Roman"/>
          <w:i/>
          <w:sz w:val="24"/>
          <w:szCs w:val="24"/>
        </w:rPr>
        <w:t xml:space="preserve">- </w:t>
      </w:r>
      <w:r w:rsidRPr="00D81106">
        <w:rPr>
          <w:rFonts w:ascii="Times New Roman" w:hAnsi="Times New Roman" w:cs="Times New Roman"/>
          <w:sz w:val="24"/>
          <w:szCs w:val="24"/>
        </w:rPr>
        <w:t>(</w:t>
      </w:r>
      <w:proofErr w:type="spellStart"/>
      <w:r w:rsidRPr="00D81106">
        <w:rPr>
          <w:rFonts w:ascii="Times New Roman" w:hAnsi="Times New Roman" w:cs="Times New Roman"/>
          <w:sz w:val="24"/>
          <w:szCs w:val="24"/>
        </w:rPr>
        <w:t>i</w:t>
      </w:r>
      <w:proofErr w:type="spellEnd"/>
      <w:r w:rsidRPr="00D81106">
        <w:rPr>
          <w:rFonts w:ascii="Times New Roman" w:hAnsi="Times New Roman" w:cs="Times New Roman"/>
          <w:sz w:val="24"/>
          <w:szCs w:val="24"/>
        </w:rPr>
        <w:t>)</w:t>
      </w:r>
      <w:r>
        <w:rPr>
          <w:rFonts w:ascii="Times New Roman" w:hAnsi="Times New Roman" w:cs="Times New Roman"/>
          <w:i/>
          <w:sz w:val="24"/>
          <w:szCs w:val="24"/>
        </w:rPr>
        <w:t xml:space="preserve"> </w:t>
      </w:r>
      <w:proofErr w:type="spellStart"/>
      <w:r w:rsidRPr="00C91F8C">
        <w:rPr>
          <w:rFonts w:ascii="Times New Roman" w:hAnsi="Times New Roman" w:cs="Times New Roman"/>
          <w:sz w:val="24"/>
          <w:szCs w:val="24"/>
        </w:rPr>
        <w:t>Keithley</w:t>
      </w:r>
      <w:proofErr w:type="spellEnd"/>
      <w:r w:rsidRPr="00C91F8C">
        <w:rPr>
          <w:rFonts w:ascii="Times New Roman" w:hAnsi="Times New Roman" w:cs="Times New Roman"/>
          <w:sz w:val="24"/>
          <w:szCs w:val="24"/>
        </w:rPr>
        <w:t xml:space="preserve"> 2100/120 6.5 Digit </w:t>
      </w:r>
      <w:proofErr w:type="spellStart"/>
      <w:r w:rsidRPr="00C91F8C">
        <w:rPr>
          <w:rFonts w:ascii="Times New Roman" w:hAnsi="Times New Roman" w:cs="Times New Roman"/>
          <w:sz w:val="24"/>
          <w:szCs w:val="24"/>
        </w:rPr>
        <w:t>Dmm</w:t>
      </w:r>
      <w:proofErr w:type="spellEnd"/>
      <w:r w:rsidRPr="00C91F8C">
        <w:rPr>
          <w:rFonts w:ascii="Times New Roman" w:hAnsi="Times New Roman" w:cs="Times New Roman"/>
          <w:sz w:val="24"/>
          <w:szCs w:val="24"/>
        </w:rPr>
        <w:t xml:space="preserve"> set to 120V; </w:t>
      </w:r>
      <w:r>
        <w:rPr>
          <w:rFonts w:ascii="Times New Roman" w:hAnsi="Times New Roman" w:cs="Times New Roman"/>
          <w:sz w:val="24"/>
          <w:szCs w:val="24"/>
        </w:rPr>
        <w:t xml:space="preserve">(ii) </w:t>
      </w:r>
      <w:proofErr w:type="spellStart"/>
      <w:r w:rsidRPr="00D81106">
        <w:rPr>
          <w:rFonts w:ascii="Times New Roman" w:hAnsi="Times New Roman" w:cs="Times New Roman"/>
          <w:sz w:val="24"/>
          <w:szCs w:val="24"/>
        </w:rPr>
        <w:t>Keithley</w:t>
      </w:r>
      <w:proofErr w:type="spellEnd"/>
      <w:r w:rsidRPr="00D81106">
        <w:rPr>
          <w:rFonts w:ascii="Times New Roman" w:hAnsi="Times New Roman" w:cs="Times New Roman"/>
          <w:sz w:val="24"/>
          <w:szCs w:val="24"/>
        </w:rPr>
        <w:t xml:space="preserve"> 2110−120 5.5 Digit DMM</w:t>
      </w:r>
      <w:r>
        <w:rPr>
          <w:rFonts w:ascii="Times New Roman" w:hAnsi="Times New Roman" w:cs="Times New Roman"/>
          <w:sz w:val="24"/>
          <w:szCs w:val="24"/>
        </w:rPr>
        <w:t xml:space="preserve">; (iii) </w:t>
      </w:r>
      <w:r w:rsidRPr="00C91F8C">
        <w:rPr>
          <w:rFonts w:ascii="Times New Roman" w:hAnsi="Times New Roman" w:cs="Times New Roman"/>
          <w:sz w:val="24"/>
          <w:szCs w:val="24"/>
        </w:rPr>
        <w:t xml:space="preserve">Tektronix DMM4040 Digital Precision </w:t>
      </w:r>
      <w:proofErr w:type="spellStart"/>
      <w:r w:rsidRPr="00C91F8C">
        <w:rPr>
          <w:rFonts w:ascii="Times New Roman" w:hAnsi="Times New Roman" w:cs="Times New Roman"/>
          <w:sz w:val="24"/>
          <w:szCs w:val="24"/>
        </w:rPr>
        <w:t>Multimeter</w:t>
      </w:r>
      <w:proofErr w:type="spellEnd"/>
      <w:r w:rsidRPr="00C91F8C">
        <w:rPr>
          <w:rFonts w:ascii="Times New Roman" w:hAnsi="Times New Roman" w:cs="Times New Roman"/>
          <w:sz w:val="24"/>
          <w:szCs w:val="24"/>
        </w:rPr>
        <w:t>, 6.5 digits 0.0035% accuracy, dual/graphic display</w:t>
      </w:r>
    </w:p>
    <w:p w14:paraId="20DAF05F" w14:textId="77777777" w:rsidR="00A7256B" w:rsidRPr="000E36A8" w:rsidRDefault="00A7256B" w:rsidP="00A7256B">
      <w:pPr>
        <w:jc w:val="both"/>
        <w:rPr>
          <w:rFonts w:ascii="Times New Roman" w:hAnsi="Times New Roman" w:cs="Times New Roman"/>
          <w:i/>
          <w:u w:val="single"/>
        </w:rPr>
      </w:pPr>
      <w:r w:rsidRPr="000E36A8">
        <w:rPr>
          <w:rFonts w:ascii="Times New Roman" w:hAnsi="Times New Roman" w:cs="Times New Roman"/>
          <w:i/>
          <w:u w:val="single"/>
        </w:rPr>
        <w:t>III. Computing Equipment and Software</w:t>
      </w:r>
    </w:p>
    <w:p w14:paraId="0A443618" w14:textId="77777777" w:rsidR="00A7256B" w:rsidRDefault="00A7256B" w:rsidP="00A7256B">
      <w:pPr>
        <w:pStyle w:val="ListParagraph"/>
        <w:numPr>
          <w:ilvl w:val="0"/>
          <w:numId w:val="5"/>
        </w:numPr>
        <w:spacing w:line="240" w:lineRule="auto"/>
        <w:jc w:val="both"/>
        <w:rPr>
          <w:rFonts w:ascii="Times New Roman" w:hAnsi="Times New Roman" w:cs="Times New Roman"/>
          <w:sz w:val="24"/>
          <w:szCs w:val="24"/>
        </w:rPr>
      </w:pPr>
      <w:r w:rsidRPr="000E36A8">
        <w:rPr>
          <w:rFonts w:ascii="Times New Roman" w:hAnsi="Times New Roman" w:cs="Times New Roman"/>
          <w:i/>
          <w:sz w:val="24"/>
          <w:szCs w:val="24"/>
        </w:rPr>
        <w:t>Workstations</w:t>
      </w:r>
      <w:r>
        <w:rPr>
          <w:rFonts w:ascii="Times New Roman" w:hAnsi="Times New Roman" w:cs="Times New Roman"/>
          <w:sz w:val="24"/>
          <w:szCs w:val="24"/>
        </w:rPr>
        <w:t xml:space="preserve">- </w:t>
      </w:r>
      <w:r w:rsidRPr="00105132">
        <w:rPr>
          <w:rFonts w:ascii="Times New Roman" w:hAnsi="Times New Roman" w:cs="Times New Roman"/>
          <w:sz w:val="24"/>
          <w:szCs w:val="24"/>
        </w:rPr>
        <w:t>30 Dell OptiPlex workstations</w:t>
      </w:r>
      <w:r>
        <w:rPr>
          <w:rFonts w:ascii="Times New Roman" w:hAnsi="Times New Roman" w:cs="Times New Roman"/>
          <w:sz w:val="24"/>
          <w:szCs w:val="24"/>
        </w:rPr>
        <w:t xml:space="preserve"> </w:t>
      </w:r>
      <w:r w:rsidRPr="00105132">
        <w:rPr>
          <w:rFonts w:ascii="Times New Roman" w:hAnsi="Times New Roman" w:cs="Times New Roman"/>
          <w:sz w:val="24"/>
          <w:szCs w:val="24"/>
        </w:rPr>
        <w:t>equipped with Windows and Linux</w:t>
      </w:r>
    </w:p>
    <w:p w14:paraId="75DBF86E" w14:textId="43048FF6" w:rsidR="00A7256B" w:rsidRPr="0023507F" w:rsidRDefault="00A7256B" w:rsidP="00A7256B">
      <w:pPr>
        <w:pStyle w:val="ListParagraph"/>
        <w:numPr>
          <w:ilvl w:val="0"/>
          <w:numId w:val="5"/>
        </w:numPr>
        <w:spacing w:line="240" w:lineRule="auto"/>
        <w:jc w:val="both"/>
        <w:rPr>
          <w:rFonts w:ascii="Times New Roman" w:hAnsi="Times New Roman" w:cs="Times New Roman"/>
          <w:sz w:val="24"/>
          <w:szCs w:val="24"/>
        </w:rPr>
      </w:pPr>
      <w:r w:rsidRPr="000E36A8">
        <w:rPr>
          <w:rFonts w:ascii="Times New Roman" w:hAnsi="Times New Roman" w:cs="Times New Roman"/>
          <w:i/>
          <w:sz w:val="24"/>
          <w:szCs w:val="24"/>
        </w:rPr>
        <w:t>Servers-</w:t>
      </w:r>
      <w:r>
        <w:rPr>
          <w:rFonts w:ascii="Times New Roman" w:hAnsi="Times New Roman" w:cs="Times New Roman"/>
          <w:sz w:val="24"/>
          <w:szCs w:val="24"/>
        </w:rPr>
        <w:t xml:space="preserve"> </w:t>
      </w:r>
      <w:r w:rsidRPr="0023507F">
        <w:rPr>
          <w:rFonts w:ascii="Times New Roman" w:hAnsi="Times New Roman" w:cs="Times New Roman"/>
          <w:sz w:val="24"/>
          <w:szCs w:val="24"/>
        </w:rPr>
        <w:t xml:space="preserve">4 </w:t>
      </w:r>
      <w:proofErr w:type="spellStart"/>
      <w:r w:rsidRPr="0023507F">
        <w:rPr>
          <w:rFonts w:ascii="Times New Roman" w:hAnsi="Times New Roman" w:cs="Times New Roman"/>
          <w:sz w:val="24"/>
          <w:szCs w:val="24"/>
        </w:rPr>
        <w:t>Supermicro</w:t>
      </w:r>
      <w:proofErr w:type="spellEnd"/>
      <w:r w:rsidRPr="0023507F">
        <w:rPr>
          <w:rFonts w:ascii="Times New Roman" w:hAnsi="Times New Roman" w:cs="Times New Roman"/>
          <w:sz w:val="24"/>
          <w:szCs w:val="24"/>
        </w:rPr>
        <w:t xml:space="preserve"> servers, each with two 10-core Xeon E5 v4 </w:t>
      </w:r>
      <w:proofErr w:type="gramStart"/>
      <w:r w:rsidRPr="0023507F">
        <w:rPr>
          <w:rFonts w:ascii="Times New Roman" w:hAnsi="Times New Roman" w:cs="Times New Roman"/>
          <w:sz w:val="24"/>
          <w:szCs w:val="24"/>
        </w:rPr>
        <w:t>processors,  40</w:t>
      </w:r>
      <w:proofErr w:type="gramEnd"/>
      <w:r w:rsidRPr="0023507F">
        <w:rPr>
          <w:rFonts w:ascii="Times New Roman" w:hAnsi="Times New Roman" w:cs="Times New Roman"/>
          <w:sz w:val="24"/>
          <w:szCs w:val="24"/>
        </w:rPr>
        <w:t xml:space="preserve"> TB of raw storage, 12 </w:t>
      </w:r>
      <w:proofErr w:type="spellStart"/>
      <w:r w:rsidRPr="0023507F">
        <w:rPr>
          <w:rFonts w:ascii="Times New Roman" w:hAnsi="Times New Roman" w:cs="Times New Roman"/>
          <w:sz w:val="24"/>
          <w:szCs w:val="24"/>
        </w:rPr>
        <w:t>Gbps</w:t>
      </w:r>
      <w:proofErr w:type="spellEnd"/>
      <w:r w:rsidRPr="0023507F">
        <w:rPr>
          <w:rFonts w:ascii="Times New Roman" w:hAnsi="Times New Roman" w:cs="Times New Roman"/>
          <w:sz w:val="24"/>
          <w:szCs w:val="24"/>
        </w:rPr>
        <w:t xml:space="preserve"> SAS backplane, 128GB of RAM</w:t>
      </w:r>
      <w:r>
        <w:rPr>
          <w:rFonts w:ascii="Times New Roman" w:hAnsi="Times New Roman" w:cs="Times New Roman"/>
          <w:sz w:val="24"/>
          <w:szCs w:val="24"/>
        </w:rPr>
        <w:t xml:space="preserve"> (one with 512 GB of RAM), and</w:t>
      </w:r>
      <w:r w:rsidRPr="0023507F">
        <w:rPr>
          <w:rFonts w:ascii="Times New Roman" w:hAnsi="Times New Roman" w:cs="Times New Roman"/>
          <w:sz w:val="24"/>
          <w:szCs w:val="24"/>
        </w:rPr>
        <w:t xml:space="preserve"> dual 10 Gb Ethernet.</w:t>
      </w:r>
    </w:p>
    <w:p w14:paraId="12D67944" w14:textId="77777777" w:rsidR="00A7256B" w:rsidRDefault="00A7256B" w:rsidP="00A7256B">
      <w:pPr>
        <w:pStyle w:val="ListParagraph"/>
        <w:numPr>
          <w:ilvl w:val="0"/>
          <w:numId w:val="5"/>
        </w:numPr>
        <w:spacing w:line="240" w:lineRule="auto"/>
        <w:jc w:val="both"/>
        <w:rPr>
          <w:rFonts w:ascii="Times New Roman" w:hAnsi="Times New Roman" w:cs="Times New Roman"/>
          <w:sz w:val="24"/>
          <w:szCs w:val="24"/>
        </w:rPr>
      </w:pPr>
      <w:r w:rsidRPr="000E36A8">
        <w:rPr>
          <w:rFonts w:ascii="Times New Roman" w:hAnsi="Times New Roman" w:cs="Times New Roman"/>
          <w:i/>
          <w:sz w:val="24"/>
          <w:szCs w:val="24"/>
        </w:rPr>
        <w:t>CAD Tools-</w:t>
      </w:r>
      <w:r>
        <w:rPr>
          <w:rFonts w:ascii="Times New Roman" w:hAnsi="Times New Roman" w:cs="Times New Roman"/>
          <w:sz w:val="24"/>
          <w:szCs w:val="24"/>
        </w:rPr>
        <w:t xml:space="preserve"> </w:t>
      </w:r>
      <w:r w:rsidRPr="00105132">
        <w:rPr>
          <w:rFonts w:ascii="Times New Roman" w:hAnsi="Times New Roman" w:cs="Times New Roman"/>
          <w:sz w:val="24"/>
          <w:szCs w:val="24"/>
        </w:rPr>
        <w:t xml:space="preserve">HSPICE, Cadence (Analog Artist, Analog Virtuoso, Diva, </w:t>
      </w:r>
      <w:proofErr w:type="spellStart"/>
      <w:r w:rsidRPr="00105132">
        <w:rPr>
          <w:rFonts w:ascii="Times New Roman" w:hAnsi="Times New Roman" w:cs="Times New Roman"/>
          <w:sz w:val="24"/>
          <w:szCs w:val="24"/>
        </w:rPr>
        <w:t>Pdracula</w:t>
      </w:r>
      <w:proofErr w:type="spellEnd"/>
      <w:r w:rsidRPr="00105132">
        <w:rPr>
          <w:rFonts w:ascii="Times New Roman" w:hAnsi="Times New Roman" w:cs="Times New Roman"/>
          <w:sz w:val="24"/>
          <w:szCs w:val="24"/>
        </w:rPr>
        <w:t xml:space="preserve">, </w:t>
      </w:r>
      <w:proofErr w:type="spellStart"/>
      <w:r w:rsidRPr="00105132">
        <w:rPr>
          <w:rFonts w:ascii="Times New Roman" w:hAnsi="Times New Roman" w:cs="Times New Roman"/>
          <w:sz w:val="24"/>
          <w:szCs w:val="24"/>
        </w:rPr>
        <w:t>SpectreRF</w:t>
      </w:r>
      <w:proofErr w:type="spellEnd"/>
      <w:r w:rsidRPr="00105132">
        <w:rPr>
          <w:rFonts w:ascii="Times New Roman" w:hAnsi="Times New Roman" w:cs="Times New Roman"/>
          <w:sz w:val="24"/>
          <w:szCs w:val="24"/>
        </w:rPr>
        <w:t>)</w:t>
      </w:r>
      <w:r>
        <w:rPr>
          <w:rFonts w:ascii="Times New Roman" w:hAnsi="Times New Roman" w:cs="Times New Roman"/>
          <w:sz w:val="24"/>
          <w:szCs w:val="24"/>
        </w:rPr>
        <w:t xml:space="preserve">, </w:t>
      </w:r>
      <w:r w:rsidRPr="00105132">
        <w:rPr>
          <w:rFonts w:ascii="Times New Roman" w:hAnsi="Times New Roman" w:cs="Times New Roman"/>
          <w:sz w:val="24"/>
          <w:szCs w:val="24"/>
        </w:rPr>
        <w:t>Sy</w:t>
      </w:r>
      <w:r>
        <w:rPr>
          <w:rFonts w:ascii="Times New Roman" w:hAnsi="Times New Roman" w:cs="Times New Roman"/>
          <w:sz w:val="24"/>
          <w:szCs w:val="24"/>
        </w:rPr>
        <w:t xml:space="preserve">nopsys and Cadence Digital flow, </w:t>
      </w:r>
      <w:r w:rsidRPr="00105132">
        <w:rPr>
          <w:rFonts w:ascii="Times New Roman" w:hAnsi="Times New Roman" w:cs="Times New Roman"/>
          <w:sz w:val="24"/>
          <w:szCs w:val="24"/>
        </w:rPr>
        <w:t>ADS and HFSS and Ensemble for Ele</w:t>
      </w:r>
      <w:r>
        <w:rPr>
          <w:rFonts w:ascii="Times New Roman" w:hAnsi="Times New Roman" w:cs="Times New Roman"/>
          <w:sz w:val="24"/>
          <w:szCs w:val="24"/>
        </w:rPr>
        <w:t xml:space="preserve">ctro-magnetic field simulations, </w:t>
      </w:r>
      <w:proofErr w:type="spellStart"/>
      <w:r w:rsidRPr="00105132">
        <w:rPr>
          <w:rFonts w:ascii="Times New Roman" w:hAnsi="Times New Roman" w:cs="Times New Roman"/>
          <w:sz w:val="24"/>
          <w:szCs w:val="24"/>
        </w:rPr>
        <w:t>Matlab</w:t>
      </w:r>
      <w:proofErr w:type="spellEnd"/>
    </w:p>
    <w:p w14:paraId="48F6EF5B" w14:textId="77777777" w:rsidR="00A7256B" w:rsidRPr="00351F9C" w:rsidRDefault="00A7256B" w:rsidP="00A7256B">
      <w:pPr>
        <w:spacing w:after="360"/>
        <w:jc w:val="both"/>
        <w:rPr>
          <w:rFonts w:ascii="Times New Roman" w:hAnsi="Times New Roman" w:cs="Times New Roman"/>
        </w:rPr>
      </w:pPr>
      <w:r>
        <w:rPr>
          <w:rFonts w:ascii="Times New Roman" w:hAnsi="Times New Roman" w:cs="Times New Roman"/>
        </w:rPr>
        <w:t xml:space="preserve">More details about FICS SCAN lab and equipment can be found at </w:t>
      </w:r>
      <w:hyperlink r:id="rId5" w:history="1">
        <w:r w:rsidRPr="0035246C">
          <w:rPr>
            <w:rStyle w:val="Hyperlink"/>
            <w:rFonts w:ascii="Times New Roman" w:hAnsi="Times New Roman" w:cs="Times New Roman"/>
          </w:rPr>
          <w:t>http://fics-institute.org/facilities/</w:t>
        </w:r>
      </w:hyperlink>
      <w:r>
        <w:rPr>
          <w:rFonts w:ascii="Times New Roman" w:hAnsi="Times New Roman" w:cs="Times New Roman"/>
        </w:rPr>
        <w:t xml:space="preserve">.   </w:t>
      </w:r>
    </w:p>
    <w:p w14:paraId="4449651A" w14:textId="77777777" w:rsidR="00A7256B" w:rsidRPr="00AC0CA1" w:rsidRDefault="00A7256B" w:rsidP="00A7256B">
      <w:pPr>
        <w:jc w:val="both"/>
        <w:rPr>
          <w:rFonts w:ascii="Times New Roman" w:hAnsi="Times New Roman" w:cs="Times New Roman"/>
          <w:b/>
          <w:i/>
          <w:u w:val="single"/>
        </w:rPr>
      </w:pPr>
      <w:r w:rsidRPr="00AC0CA1">
        <w:rPr>
          <w:rFonts w:ascii="Times New Roman" w:hAnsi="Times New Roman" w:cs="Times New Roman"/>
          <w:b/>
          <w:i/>
          <w:u w:val="single"/>
        </w:rPr>
        <w:t xml:space="preserve">UF </w:t>
      </w:r>
      <w:r>
        <w:rPr>
          <w:rFonts w:ascii="Times New Roman" w:hAnsi="Times New Roman" w:cs="Times New Roman"/>
          <w:b/>
          <w:i/>
          <w:u w:val="single"/>
        </w:rPr>
        <w:t>College of Engineering</w:t>
      </w:r>
    </w:p>
    <w:p w14:paraId="4EB877A0" w14:textId="77777777" w:rsidR="00A7256B" w:rsidRDefault="00A7256B" w:rsidP="00A7256B">
      <w:pPr>
        <w:jc w:val="both"/>
        <w:rPr>
          <w:rFonts w:ascii="Times New Roman" w:hAnsi="Times New Roman" w:cs="Times New Roman"/>
        </w:rPr>
      </w:pPr>
      <w:r w:rsidRPr="00AC0CA1">
        <w:rPr>
          <w:rFonts w:ascii="Times New Roman" w:hAnsi="Times New Roman" w:cs="Times New Roman"/>
        </w:rPr>
        <w:t xml:space="preserve">The Office of Research and Facilities in the </w:t>
      </w:r>
      <w:r>
        <w:rPr>
          <w:rFonts w:ascii="Times New Roman" w:hAnsi="Times New Roman" w:cs="Times New Roman"/>
        </w:rPr>
        <w:t xml:space="preserve">UF </w:t>
      </w:r>
      <w:r w:rsidRPr="00AC0CA1">
        <w:rPr>
          <w:rFonts w:ascii="Times New Roman" w:hAnsi="Times New Roman" w:cs="Times New Roman"/>
        </w:rPr>
        <w:t xml:space="preserve">College of Engineering supports the college’s faculty, staff, and students in developing and maintaining internationally recognized research programs in areas such as Advanced Manufacturing, Autonomous Systems, Big Data, Cybersecurity, Human Centered Computing, Materials Innovation, and Renewable Energy. The Associate Dean for Research and Facilities oversees this office, working within and outside the college to identify new research opportunities, facilitate interdisciplinary pursuits, and interface with federal and state agencies, industry, and foundations. Units within this office include the </w:t>
      </w:r>
      <w:r w:rsidRPr="00AC0CA1">
        <w:rPr>
          <w:rFonts w:ascii="Times New Roman" w:hAnsi="Times New Roman" w:cs="Times New Roman"/>
          <w:b/>
          <w:i/>
        </w:rPr>
        <w:t>Research Service Centers</w:t>
      </w:r>
      <w:r w:rsidRPr="00AC0CA1">
        <w:rPr>
          <w:rFonts w:ascii="Times New Roman" w:hAnsi="Times New Roman" w:cs="Times New Roman"/>
        </w:rPr>
        <w:t xml:space="preserve"> – providing UF persons and external users with fee-based access to major experimental facilities for characterization and fabrication, and the </w:t>
      </w:r>
      <w:r w:rsidRPr="00AC0CA1">
        <w:rPr>
          <w:rFonts w:ascii="Times New Roman" w:hAnsi="Times New Roman" w:cs="Times New Roman"/>
          <w:b/>
          <w:i/>
        </w:rPr>
        <w:t>Office of Laboratory Safety</w:t>
      </w:r>
      <w:r w:rsidRPr="00AC0CA1">
        <w:rPr>
          <w:rFonts w:ascii="Times New Roman" w:hAnsi="Times New Roman" w:cs="Times New Roman"/>
        </w:rPr>
        <w:t xml:space="preserve"> – developing and implementing policies and procedures that contribute to the safe operation of all College of Engineering laboratories. </w:t>
      </w:r>
    </w:p>
    <w:p w14:paraId="466E10A5" w14:textId="77777777" w:rsidR="00A7256B" w:rsidRDefault="00A7256B" w:rsidP="00A7256B">
      <w:pPr>
        <w:jc w:val="both"/>
        <w:rPr>
          <w:rFonts w:ascii="Times New Roman" w:hAnsi="Times New Roman" w:cs="Times New Roman"/>
        </w:rPr>
      </w:pPr>
    </w:p>
    <w:p w14:paraId="4B381CDC" w14:textId="77777777" w:rsidR="00A7256B" w:rsidRPr="00640EFA" w:rsidRDefault="00A7256B" w:rsidP="00A7256B">
      <w:pPr>
        <w:jc w:val="both"/>
        <w:rPr>
          <w:rFonts w:ascii="Times New Roman" w:hAnsi="Times New Roman" w:cs="Times New Roman"/>
        </w:rPr>
      </w:pPr>
      <w:r w:rsidRPr="00640EFA">
        <w:rPr>
          <w:rFonts w:ascii="Times New Roman" w:hAnsi="Times New Roman" w:cs="Times New Roman"/>
          <w:b/>
          <w:i/>
          <w:u w:val="single"/>
        </w:rPr>
        <w:t>UF</w:t>
      </w:r>
      <w:r w:rsidRPr="00640EFA">
        <w:rPr>
          <w:rFonts w:ascii="Times New Roman" w:hAnsi="Times New Roman" w:cs="Times New Roman"/>
          <w:i/>
          <w:color w:val="000000" w:themeColor="text1"/>
          <w:u w:val="single"/>
        </w:rPr>
        <w:t xml:space="preserve"> </w:t>
      </w:r>
      <w:r w:rsidRPr="00640EFA">
        <w:rPr>
          <w:rFonts w:ascii="Times New Roman" w:hAnsi="Times New Roman" w:cs="Times New Roman"/>
          <w:b/>
          <w:i/>
          <w:color w:val="000000" w:themeColor="text1"/>
          <w:u w:val="single"/>
        </w:rPr>
        <w:t>Research Computing</w:t>
      </w:r>
    </w:p>
    <w:p w14:paraId="42B7F286" w14:textId="77777777" w:rsidR="00A7256B" w:rsidRPr="00475C63" w:rsidRDefault="00A7256B" w:rsidP="00A7256B">
      <w:pPr>
        <w:jc w:val="both"/>
        <w:rPr>
          <w:rFonts w:ascii="Times New Roman" w:hAnsi="Times New Roman" w:cs="Times New Roman"/>
          <w:color w:val="000000" w:themeColor="text1"/>
        </w:rPr>
      </w:pPr>
      <w:r w:rsidRPr="00475C63">
        <w:rPr>
          <w:rFonts w:ascii="Times New Roman" w:hAnsi="Times New Roman" w:cs="Times New Roman"/>
          <w:color w:val="000000" w:themeColor="text1"/>
        </w:rPr>
        <w:t xml:space="preserve">In 2011, the University of Florida made a 5-year commitment to build out the facility into a comprehensive cyber infrastructure for research computing, creating the department of Research Computing as a part of UF IT. UF Research Computing has grown to a permanent staff of 12.25 FTE. A matching program started in the summer of 2011 has added over 100 new research groups making the commitment to work with UF Research Computing for their needs for high-performance computing and research data storage. Further details on UF Research Computing can be found at </w:t>
      </w:r>
      <w:hyperlink r:id="rId6" w:history="1">
        <w:r w:rsidRPr="00475C63">
          <w:rPr>
            <w:rStyle w:val="Hyperlink"/>
            <w:rFonts w:ascii="Times New Roman" w:hAnsi="Times New Roman" w:cs="Times New Roman"/>
          </w:rPr>
          <w:t>http://www.it.ufl.edu/units/</w:t>
        </w:r>
      </w:hyperlink>
      <w:r w:rsidRPr="00475C63">
        <w:rPr>
          <w:rFonts w:ascii="Times New Roman" w:hAnsi="Times New Roman" w:cs="Times New Roman"/>
          <w:color w:val="000000" w:themeColor="text1"/>
        </w:rPr>
        <w:t xml:space="preserve"> and </w:t>
      </w:r>
      <w:hyperlink r:id="rId7" w:history="1">
        <w:r w:rsidRPr="00475C63">
          <w:rPr>
            <w:rStyle w:val="Hyperlink"/>
            <w:rFonts w:ascii="Times New Roman" w:hAnsi="Times New Roman" w:cs="Times New Roman"/>
          </w:rPr>
          <w:t>http://www.rc.ufl.edu</w:t>
        </w:r>
      </w:hyperlink>
    </w:p>
    <w:p w14:paraId="25DFC6EA" w14:textId="77777777" w:rsidR="00A7256B" w:rsidRPr="00351F9C" w:rsidRDefault="00A7256B" w:rsidP="00A7256B">
      <w:pPr>
        <w:jc w:val="both"/>
        <w:rPr>
          <w:rFonts w:ascii="Times New Roman" w:hAnsi="Times New Roman" w:cs="Times New Roman"/>
          <w:color w:val="000000" w:themeColor="text1"/>
        </w:rPr>
      </w:pPr>
      <w:r>
        <w:rPr>
          <w:rFonts w:ascii="Times New Roman" w:hAnsi="Times New Roman" w:cs="Times New Roman"/>
          <w:bCs/>
          <w:i/>
          <w:color w:val="000000" w:themeColor="text1"/>
        </w:rPr>
        <w:t>Florida C</w:t>
      </w:r>
      <w:r w:rsidRPr="00351F9C">
        <w:rPr>
          <w:rFonts w:ascii="Times New Roman" w:hAnsi="Times New Roman" w:cs="Times New Roman"/>
          <w:bCs/>
          <w:i/>
          <w:color w:val="000000" w:themeColor="text1"/>
        </w:rPr>
        <w:t>yberinfrastructure</w:t>
      </w:r>
      <w:r>
        <w:rPr>
          <w:rFonts w:ascii="Times New Roman" w:hAnsi="Times New Roman" w:cs="Times New Roman"/>
          <w:bCs/>
          <w:i/>
          <w:color w:val="000000" w:themeColor="text1"/>
        </w:rPr>
        <w:t xml:space="preserve">. </w:t>
      </w:r>
      <w:r w:rsidRPr="00351F9C">
        <w:rPr>
          <w:rFonts w:ascii="Times New Roman" w:hAnsi="Times New Roman" w:cs="Times New Roman"/>
          <w:color w:val="000000" w:themeColor="text1"/>
        </w:rPr>
        <w:t>Universities in the state of Florida joined forces in the Sunshine State Education &amp; Research Computing Alliance (SSERCA) to build a robust cyberinfrastructure to share expertise and resources (</w:t>
      </w:r>
      <w:hyperlink r:id="rId8" w:history="1">
        <w:r w:rsidRPr="00351F9C">
          <w:rPr>
            <w:rStyle w:val="Hyperlink"/>
            <w:rFonts w:ascii="Times New Roman" w:hAnsi="Times New Roman" w:cs="Times New Roman"/>
          </w:rPr>
          <w:t>http://sserca.org</w:t>
        </w:r>
      </w:hyperlink>
      <w:r w:rsidRPr="00351F9C">
        <w:rPr>
          <w:rFonts w:ascii="Times New Roman" w:hAnsi="Times New Roman" w:cs="Times New Roman"/>
          <w:color w:val="000000" w:themeColor="text1"/>
        </w:rPr>
        <w:t xml:space="preserve">). The current members are Florida Atlantic University (FAU), Florida International University (FIU), Florida State University (FSU), University of Central Florida (UCF), University of Florida (UF), University of Miami (UM), and University of South Florida (USF). The affiliate institutions are Florida Agricultural and Mechanical University (FAMU), University of North Florida (UNF), and University of West Florida (UWF), Florida Polytechnic University (FPU), Florida Institute of Technology (FIT), Nova South Eastern University, and New College of Florida. </w:t>
      </w:r>
    </w:p>
    <w:p w14:paraId="14DEB662" w14:textId="77777777" w:rsidR="00A7256B" w:rsidRPr="00351F9C" w:rsidRDefault="00A7256B" w:rsidP="00A7256B">
      <w:pPr>
        <w:jc w:val="both"/>
        <w:rPr>
          <w:rFonts w:ascii="Times New Roman" w:hAnsi="Times New Roman" w:cs="Times New Roman"/>
          <w:color w:val="000000" w:themeColor="text1"/>
        </w:rPr>
      </w:pPr>
      <w:r w:rsidRPr="00351F9C">
        <w:rPr>
          <w:rFonts w:ascii="Times New Roman" w:hAnsi="Times New Roman" w:cs="Times New Roman"/>
          <w:color w:val="000000" w:themeColor="text1"/>
        </w:rPr>
        <w:t xml:space="preserve">The Florida Lambda Rail (FLR) provides the underlying fiber optic network and network connectivity between these institutions and many others. The FLR backbone completed the upgrade to 100 </w:t>
      </w:r>
      <w:proofErr w:type="spellStart"/>
      <w:r w:rsidRPr="00351F9C">
        <w:rPr>
          <w:rFonts w:ascii="Times New Roman" w:hAnsi="Times New Roman" w:cs="Times New Roman"/>
          <w:color w:val="000000" w:themeColor="text1"/>
        </w:rPr>
        <w:t>Gbps</w:t>
      </w:r>
      <w:proofErr w:type="spellEnd"/>
      <w:r w:rsidRPr="00351F9C">
        <w:rPr>
          <w:rFonts w:ascii="Times New Roman" w:hAnsi="Times New Roman" w:cs="Times New Roman"/>
          <w:color w:val="000000" w:themeColor="text1"/>
        </w:rPr>
        <w:t xml:space="preserve"> in June 2015. The University of Florida is connected to this backbone at the full speed of 100 </w:t>
      </w:r>
      <w:proofErr w:type="spellStart"/>
      <w:r w:rsidRPr="00351F9C">
        <w:rPr>
          <w:rFonts w:ascii="Times New Roman" w:hAnsi="Times New Roman" w:cs="Times New Roman"/>
          <w:color w:val="000000" w:themeColor="text1"/>
        </w:rPr>
        <w:t>Gbps</w:t>
      </w:r>
      <w:proofErr w:type="spellEnd"/>
      <w:r w:rsidRPr="00351F9C">
        <w:rPr>
          <w:rFonts w:ascii="Times New Roman" w:hAnsi="Times New Roman" w:cs="Times New Roman"/>
          <w:color w:val="000000" w:themeColor="text1"/>
        </w:rPr>
        <w:t xml:space="preserve"> and has been connected at that rate to Internet2 backbone since Jan 2013.</w:t>
      </w:r>
    </w:p>
    <w:p w14:paraId="3F0789FF" w14:textId="77777777" w:rsidR="00A7256B" w:rsidRPr="00351F9C" w:rsidRDefault="00A7256B" w:rsidP="00A7256B">
      <w:pPr>
        <w:jc w:val="both"/>
        <w:rPr>
          <w:rFonts w:ascii="Times New Roman" w:hAnsi="Times New Roman" w:cs="Times New Roman"/>
          <w:color w:val="000000" w:themeColor="text1"/>
        </w:rPr>
      </w:pPr>
      <w:r w:rsidRPr="00351F9C">
        <w:rPr>
          <w:rFonts w:ascii="Times New Roman" w:hAnsi="Times New Roman" w:cs="Times New Roman"/>
          <w:bCs/>
          <w:i/>
          <w:color w:val="000000" w:themeColor="text1"/>
        </w:rPr>
        <w:t>High-performance computing and big-data analytics</w:t>
      </w:r>
      <w:r>
        <w:rPr>
          <w:rFonts w:ascii="Times New Roman" w:hAnsi="Times New Roman" w:cs="Times New Roman"/>
          <w:bCs/>
          <w:i/>
          <w:color w:val="000000" w:themeColor="text1"/>
        </w:rPr>
        <w:t xml:space="preserve">. </w:t>
      </w:r>
      <w:r w:rsidRPr="00351F9C">
        <w:rPr>
          <w:rFonts w:ascii="Times New Roman" w:hAnsi="Times New Roman" w:cs="Times New Roman"/>
          <w:color w:val="000000" w:themeColor="text1"/>
        </w:rPr>
        <w:t xml:space="preserve">Research Computing operates the </w:t>
      </w:r>
      <w:proofErr w:type="spellStart"/>
      <w:r w:rsidRPr="00351F9C">
        <w:rPr>
          <w:rFonts w:ascii="Times New Roman" w:hAnsi="Times New Roman" w:cs="Times New Roman"/>
          <w:b/>
          <w:color w:val="000000" w:themeColor="text1"/>
        </w:rPr>
        <w:t>HiPerGator</w:t>
      </w:r>
      <w:proofErr w:type="spellEnd"/>
      <w:r w:rsidRPr="00351F9C">
        <w:rPr>
          <w:rFonts w:ascii="Times New Roman" w:hAnsi="Times New Roman" w:cs="Times New Roman"/>
          <w:b/>
          <w:color w:val="000000" w:themeColor="text1"/>
        </w:rPr>
        <w:t xml:space="preserve"> </w:t>
      </w:r>
      <w:r w:rsidRPr="00351F9C">
        <w:rPr>
          <w:rFonts w:ascii="Times New Roman" w:hAnsi="Times New Roman" w:cs="Times New Roman"/>
          <w:color w:val="000000" w:themeColor="text1"/>
        </w:rPr>
        <w:t xml:space="preserve">supercomputer, a cluster-based system with a combined capacity of about 21,000 cores in multi-core servers. In November 2015, this capacity was expanded by adding 30,000 new Intel cores, described at </w:t>
      </w:r>
      <w:hyperlink r:id="rId9" w:history="1">
        <w:r w:rsidRPr="00351F9C">
          <w:rPr>
            <w:rStyle w:val="Hyperlink"/>
            <w:rFonts w:ascii="Times New Roman" w:hAnsi="Times New Roman" w:cs="Times New Roman"/>
          </w:rPr>
          <w:t>http://www.rc.ufl.edu/resources/hardware/hipergator-2-0/</w:t>
        </w:r>
      </w:hyperlink>
      <w:r w:rsidRPr="00351F9C">
        <w:rPr>
          <w:rFonts w:ascii="Times New Roman" w:hAnsi="Times New Roman" w:cs="Times New Roman"/>
          <w:color w:val="000000" w:themeColor="text1"/>
        </w:rPr>
        <w:t xml:space="preserve">, bringing the total to 51,000 cores. The servers are part of an integrated InfiniBand fabric. The clusters share over 5 </w:t>
      </w:r>
      <w:proofErr w:type="spellStart"/>
      <w:r w:rsidRPr="00351F9C">
        <w:rPr>
          <w:rFonts w:ascii="Times New Roman" w:hAnsi="Times New Roman" w:cs="Times New Roman"/>
          <w:color w:val="000000" w:themeColor="text1"/>
        </w:rPr>
        <w:t>PetaBytes</w:t>
      </w:r>
      <w:proofErr w:type="spellEnd"/>
      <w:r w:rsidRPr="00351F9C">
        <w:rPr>
          <w:rFonts w:ascii="Times New Roman" w:hAnsi="Times New Roman" w:cs="Times New Roman"/>
          <w:color w:val="000000" w:themeColor="text1"/>
        </w:rPr>
        <w:t xml:space="preserve"> of distributed storage via the </w:t>
      </w:r>
      <w:proofErr w:type="spellStart"/>
      <w:r w:rsidRPr="00351F9C">
        <w:rPr>
          <w:rFonts w:ascii="Times New Roman" w:hAnsi="Times New Roman" w:cs="Times New Roman"/>
          <w:color w:val="000000" w:themeColor="text1"/>
        </w:rPr>
        <w:t>Lustre</w:t>
      </w:r>
      <w:proofErr w:type="spellEnd"/>
      <w:r w:rsidRPr="00351F9C">
        <w:rPr>
          <w:rFonts w:ascii="Times New Roman" w:hAnsi="Times New Roman" w:cs="Times New Roman"/>
          <w:color w:val="000000" w:themeColor="text1"/>
        </w:rPr>
        <w:t xml:space="preserve"> parallel file system. In addition, Research Computing houses about 2 PB of storage for the High Energy Physics collaboration of the Compact Muon Solenoid (CMS) experiment. The system includes over 100 NVIDIA GPU accelerators and 24 Intel Xeon Phi accelerators, available for experimental and production research, as well as for training and teaching. </w:t>
      </w:r>
    </w:p>
    <w:p w14:paraId="1F45BE8D" w14:textId="77777777" w:rsidR="00A7256B" w:rsidRPr="00351F9C" w:rsidRDefault="00A7256B" w:rsidP="00A7256B">
      <w:pPr>
        <w:jc w:val="both"/>
        <w:rPr>
          <w:rFonts w:ascii="Times New Roman" w:hAnsi="Times New Roman" w:cs="Times New Roman"/>
          <w:color w:val="000000" w:themeColor="text1"/>
        </w:rPr>
      </w:pPr>
      <w:r w:rsidRPr="00351F9C">
        <w:rPr>
          <w:rFonts w:ascii="Times New Roman" w:hAnsi="Times New Roman" w:cs="Times New Roman"/>
          <w:bCs/>
          <w:i/>
          <w:color w:val="000000" w:themeColor="text1"/>
        </w:rPr>
        <w:t>Restricted data storage and analytics</w:t>
      </w:r>
      <w:r>
        <w:rPr>
          <w:rFonts w:ascii="Times New Roman" w:hAnsi="Times New Roman" w:cs="Times New Roman"/>
          <w:bCs/>
          <w:i/>
          <w:color w:val="000000" w:themeColor="text1"/>
        </w:rPr>
        <w:t xml:space="preserve">. </w:t>
      </w:r>
      <w:r w:rsidRPr="00351F9C">
        <w:rPr>
          <w:rFonts w:ascii="Times New Roman" w:hAnsi="Times New Roman" w:cs="Times New Roman"/>
          <w:color w:val="000000" w:themeColor="text1"/>
        </w:rPr>
        <w:t xml:space="preserve">Research projects may involve storing and processing restricted data, including intellectual property (IP), protected health information (PHI), Controlled Unclassified Information (CUI) regulated by Health Insurance Portability and Accountability Act (HIPAA), International Trade in Arms Regulation (ITAR), Export Administration Regulation (EAR), Family Educational Rights and Privacy Act (FERPA). For such projects Research Computing supports two environments </w:t>
      </w:r>
    </w:p>
    <w:p w14:paraId="51ABE291" w14:textId="77777777" w:rsidR="00A7256B" w:rsidRPr="00351F9C" w:rsidRDefault="00A7256B" w:rsidP="00A7256B">
      <w:pPr>
        <w:numPr>
          <w:ilvl w:val="0"/>
          <w:numId w:val="7"/>
        </w:numPr>
        <w:spacing w:after="160"/>
        <w:jc w:val="both"/>
        <w:rPr>
          <w:rFonts w:ascii="Times New Roman" w:hAnsi="Times New Roman" w:cs="Times New Roman"/>
          <w:color w:val="000000" w:themeColor="text1"/>
        </w:rPr>
      </w:pPr>
      <w:r w:rsidRPr="00351F9C">
        <w:rPr>
          <w:rFonts w:ascii="Times New Roman" w:hAnsi="Times New Roman" w:cs="Times New Roman"/>
          <w:color w:val="000000" w:themeColor="text1"/>
        </w:rPr>
        <w:t xml:space="preserve">Research Shield </w:t>
      </w:r>
      <w:hyperlink r:id="rId10" w:history="1">
        <w:r w:rsidRPr="00351F9C">
          <w:rPr>
            <w:rStyle w:val="Hyperlink"/>
            <w:rFonts w:ascii="Times New Roman" w:hAnsi="Times New Roman" w:cs="Times New Roman"/>
          </w:rPr>
          <w:t>https://shield.ufl.edu/</w:t>
        </w:r>
      </w:hyperlink>
      <w:r w:rsidRPr="00351F9C">
        <w:rPr>
          <w:rFonts w:ascii="Times New Roman" w:hAnsi="Times New Roman" w:cs="Times New Roman"/>
          <w:color w:val="000000" w:themeColor="text1"/>
        </w:rPr>
        <w:t xml:space="preserve"> meets the NIST 800-53 rev4 “moderate” rating for contracts that require FISMA compliance and has been operating since June 2015, and</w:t>
      </w:r>
    </w:p>
    <w:p w14:paraId="4A1FA91F" w14:textId="77777777" w:rsidR="00A7256B" w:rsidRPr="00351F9C" w:rsidRDefault="00A7256B" w:rsidP="00A7256B">
      <w:pPr>
        <w:numPr>
          <w:ilvl w:val="0"/>
          <w:numId w:val="7"/>
        </w:numPr>
        <w:spacing w:after="160"/>
        <w:jc w:val="both"/>
        <w:rPr>
          <w:rFonts w:ascii="Times New Roman" w:hAnsi="Times New Roman" w:cs="Times New Roman"/>
          <w:color w:val="000000" w:themeColor="text1"/>
        </w:rPr>
      </w:pPr>
      <w:proofErr w:type="spellStart"/>
      <w:r w:rsidRPr="00351F9C">
        <w:rPr>
          <w:rFonts w:ascii="Times New Roman" w:hAnsi="Times New Roman" w:cs="Times New Roman"/>
          <w:color w:val="000000" w:themeColor="text1"/>
        </w:rPr>
        <w:t>GatorVault</w:t>
      </w:r>
      <w:proofErr w:type="spellEnd"/>
      <w:r w:rsidRPr="00351F9C">
        <w:rPr>
          <w:rFonts w:ascii="Times New Roman" w:hAnsi="Times New Roman" w:cs="Times New Roman"/>
          <w:color w:val="000000" w:themeColor="text1"/>
        </w:rPr>
        <w:t xml:space="preserve"> </w:t>
      </w:r>
      <w:hyperlink r:id="rId11" w:history="1">
        <w:r w:rsidRPr="00351F9C">
          <w:rPr>
            <w:rStyle w:val="Hyperlink"/>
            <w:rFonts w:ascii="Times New Roman" w:hAnsi="Times New Roman" w:cs="Times New Roman"/>
          </w:rPr>
          <w:t>http://www.rc.ufl.edu/resources/hardware/gatorvault/</w:t>
        </w:r>
      </w:hyperlink>
      <w:r w:rsidRPr="00351F9C">
        <w:rPr>
          <w:rFonts w:ascii="Times New Roman" w:hAnsi="Times New Roman" w:cs="Times New Roman"/>
          <w:color w:val="000000" w:themeColor="text1"/>
        </w:rPr>
        <w:t xml:space="preserve"> is approved for PHI, FERPA, IP, and ITAR/EAR restrictions and started operating in December 2015.</w:t>
      </w:r>
    </w:p>
    <w:p w14:paraId="3BA7D8F0" w14:textId="77777777" w:rsidR="00A7256B" w:rsidRPr="00351F9C" w:rsidRDefault="00A7256B" w:rsidP="00A7256B">
      <w:pPr>
        <w:jc w:val="both"/>
        <w:rPr>
          <w:rFonts w:ascii="Times New Roman" w:hAnsi="Times New Roman" w:cs="Times New Roman"/>
          <w:color w:val="000000" w:themeColor="text1"/>
        </w:rPr>
      </w:pPr>
      <w:r w:rsidRPr="00351F9C">
        <w:rPr>
          <w:rFonts w:ascii="Times New Roman" w:hAnsi="Times New Roman" w:cs="Times New Roman"/>
          <w:color w:val="000000" w:themeColor="text1"/>
        </w:rPr>
        <w:t xml:space="preserve">More details can be found at </w:t>
      </w:r>
      <w:hyperlink r:id="rId12" w:history="1">
        <w:r w:rsidRPr="00351F9C">
          <w:rPr>
            <w:rStyle w:val="Hyperlink"/>
            <w:rFonts w:ascii="Times New Roman" w:hAnsi="Times New Roman" w:cs="Times New Roman"/>
          </w:rPr>
          <w:t>http://www.rc.ufl.edu/services/compliant-environment/</w:t>
        </w:r>
      </w:hyperlink>
      <w:r w:rsidRPr="00351F9C">
        <w:rPr>
          <w:rFonts w:ascii="Times New Roman" w:hAnsi="Times New Roman" w:cs="Times New Roman"/>
          <w:color w:val="000000" w:themeColor="text1"/>
        </w:rPr>
        <w:t xml:space="preserve">. </w:t>
      </w:r>
    </w:p>
    <w:p w14:paraId="313A3E63" w14:textId="77777777" w:rsidR="00A7256B" w:rsidRPr="00351F9C" w:rsidRDefault="00A7256B" w:rsidP="00A7256B">
      <w:pPr>
        <w:jc w:val="both"/>
        <w:rPr>
          <w:rFonts w:ascii="Times New Roman" w:hAnsi="Times New Roman" w:cs="Times New Roman"/>
          <w:color w:val="000000" w:themeColor="text1"/>
        </w:rPr>
      </w:pPr>
      <w:r w:rsidRPr="00351F9C">
        <w:rPr>
          <w:rFonts w:ascii="Times New Roman" w:hAnsi="Times New Roman" w:cs="Times New Roman"/>
          <w:bCs/>
          <w:i/>
          <w:color w:val="000000" w:themeColor="text1"/>
        </w:rPr>
        <w:t>Network infrastructure</w:t>
      </w:r>
      <w:r>
        <w:rPr>
          <w:rFonts w:ascii="Times New Roman" w:hAnsi="Times New Roman" w:cs="Times New Roman"/>
          <w:bCs/>
          <w:i/>
          <w:color w:val="000000" w:themeColor="text1"/>
        </w:rPr>
        <w:t xml:space="preserve">. </w:t>
      </w:r>
      <w:r w:rsidRPr="00351F9C">
        <w:rPr>
          <w:rFonts w:ascii="Times New Roman" w:hAnsi="Times New Roman" w:cs="Times New Roman"/>
          <w:color w:val="000000" w:themeColor="text1"/>
        </w:rPr>
        <w:t>The Research Computing systems are located in the University of Florida data center. The machine room is connected to other campus resources by the 200 gigabit per second Campus Research Network (CRN), now commonly called Science DMZ. The CRN was created with an NSF Major Research Instrumentation award in 2004 and has been maintained by the University since the end of that award. The CRN connects the HPC systems to the Florida Lambda Rail, from which the National Lambda Rail and Internet2 are accessible. The University of Florida was the first institution (April 2013) to meet all requirements become an Internet2 Innovation Platform, which implies the use of software defined networking (SDN), the implementation of a Science DMZ, and a connection at 100 Gb/s to the Internet2 backbone. An NSF CC-NIE award in 2012 funded the 100 Gb/s switch and an NSF MRI grant awarded in 2012 funded the upgrade of the CRN (Science DMZ) to 200 Gb/s. The upgrade has been operational since the winter of 2013.</w:t>
      </w:r>
    </w:p>
    <w:p w14:paraId="22783595" w14:textId="77777777" w:rsidR="00A7256B" w:rsidRPr="00351F9C" w:rsidRDefault="00A7256B" w:rsidP="00A7256B">
      <w:pPr>
        <w:jc w:val="both"/>
        <w:rPr>
          <w:rFonts w:ascii="Times New Roman" w:hAnsi="Times New Roman" w:cs="Times New Roman"/>
          <w:color w:val="000000" w:themeColor="text1"/>
        </w:rPr>
      </w:pPr>
      <w:r w:rsidRPr="00351F9C">
        <w:rPr>
          <w:rFonts w:ascii="Times New Roman" w:hAnsi="Times New Roman" w:cs="Times New Roman"/>
          <w:bCs/>
          <w:i/>
          <w:color w:val="000000" w:themeColor="text1"/>
        </w:rPr>
        <w:t>UFNet2 virtual network environments</w:t>
      </w:r>
      <w:r>
        <w:rPr>
          <w:rFonts w:ascii="Times New Roman" w:hAnsi="Times New Roman" w:cs="Times New Roman"/>
          <w:bCs/>
          <w:i/>
          <w:color w:val="000000" w:themeColor="text1"/>
        </w:rPr>
        <w:t xml:space="preserve">. </w:t>
      </w:r>
      <w:r w:rsidRPr="00351F9C">
        <w:rPr>
          <w:rFonts w:ascii="Times New Roman" w:hAnsi="Times New Roman" w:cs="Times New Roman"/>
          <w:color w:val="000000" w:themeColor="text1"/>
        </w:rPr>
        <w:t xml:space="preserve">By the end of 2014, the campus network infrastructure was upgraded to support virtual network environments. These virtual environments enable extending physical networks beyond their physical boundaries that traditionally coincide with individual buildings. There are three physical networks: </w:t>
      </w:r>
    </w:p>
    <w:p w14:paraId="78AC51E5" w14:textId="77777777" w:rsidR="00A7256B" w:rsidRPr="00351F9C" w:rsidRDefault="00A7256B" w:rsidP="00A7256B">
      <w:pPr>
        <w:numPr>
          <w:ilvl w:val="0"/>
          <w:numId w:val="1"/>
        </w:numPr>
        <w:spacing w:after="160"/>
        <w:jc w:val="both"/>
        <w:rPr>
          <w:rFonts w:ascii="Times New Roman" w:hAnsi="Times New Roman" w:cs="Times New Roman"/>
          <w:color w:val="000000" w:themeColor="text1"/>
        </w:rPr>
      </w:pPr>
      <w:r w:rsidRPr="00351F9C">
        <w:rPr>
          <w:rFonts w:ascii="Times New Roman" w:hAnsi="Times New Roman" w:cs="Times New Roman"/>
          <w:color w:val="000000" w:themeColor="text1"/>
        </w:rPr>
        <w:t xml:space="preserve">The Academic network, </w:t>
      </w:r>
    </w:p>
    <w:p w14:paraId="05CEA3F3" w14:textId="77777777" w:rsidR="00A7256B" w:rsidRPr="00351F9C" w:rsidRDefault="00A7256B" w:rsidP="00A7256B">
      <w:pPr>
        <w:numPr>
          <w:ilvl w:val="0"/>
          <w:numId w:val="1"/>
        </w:numPr>
        <w:spacing w:after="160"/>
        <w:jc w:val="both"/>
        <w:rPr>
          <w:rFonts w:ascii="Times New Roman" w:hAnsi="Times New Roman" w:cs="Times New Roman"/>
          <w:color w:val="000000" w:themeColor="text1"/>
        </w:rPr>
      </w:pPr>
      <w:r w:rsidRPr="00351F9C">
        <w:rPr>
          <w:rFonts w:ascii="Times New Roman" w:hAnsi="Times New Roman" w:cs="Times New Roman"/>
          <w:color w:val="000000" w:themeColor="text1"/>
        </w:rPr>
        <w:t xml:space="preserve">The Health network that allows protected health information to be stored and accessed, </w:t>
      </w:r>
    </w:p>
    <w:p w14:paraId="6374482A" w14:textId="77777777" w:rsidR="00A7256B" w:rsidRPr="00351F9C" w:rsidRDefault="00A7256B" w:rsidP="00A7256B">
      <w:pPr>
        <w:numPr>
          <w:ilvl w:val="0"/>
          <w:numId w:val="1"/>
        </w:numPr>
        <w:spacing w:after="160"/>
        <w:jc w:val="both"/>
        <w:rPr>
          <w:rFonts w:ascii="Times New Roman" w:hAnsi="Times New Roman" w:cs="Times New Roman"/>
          <w:color w:val="000000" w:themeColor="text1"/>
        </w:rPr>
      </w:pPr>
      <w:r w:rsidRPr="00351F9C">
        <w:rPr>
          <w:rFonts w:ascii="Times New Roman" w:hAnsi="Times New Roman" w:cs="Times New Roman"/>
          <w:color w:val="000000" w:themeColor="text1"/>
        </w:rPr>
        <w:t>The Campus Research network or Science DMZ connecting HPC resources with data generating instruments.</w:t>
      </w:r>
    </w:p>
    <w:p w14:paraId="7F015782" w14:textId="77777777" w:rsidR="00A7256B" w:rsidRPr="00351F9C" w:rsidRDefault="00A7256B" w:rsidP="00A7256B">
      <w:pPr>
        <w:jc w:val="both"/>
        <w:rPr>
          <w:rFonts w:ascii="Times New Roman" w:hAnsi="Times New Roman" w:cs="Times New Roman"/>
          <w:color w:val="000000" w:themeColor="text1"/>
        </w:rPr>
      </w:pPr>
      <w:r w:rsidRPr="00351F9C">
        <w:rPr>
          <w:rFonts w:ascii="Times New Roman" w:hAnsi="Times New Roman" w:cs="Times New Roman"/>
          <w:color w:val="000000" w:themeColor="text1"/>
        </w:rPr>
        <w:t>With the virtual network environments it is possible to connect instruments in any enabled building to the Science DMZ virtual environment, even if the instrument resides in a building that is served by the physical Health network. Similarly researchers can choose to be connected to the Academic virtual network even if their offices are in a Health network building. The virtual environments allow deployment of the correct policies and security measures on a fine-grained scale to meet the needs of the activities of the people using the network. Future virtual network environments to be added include</w:t>
      </w:r>
    </w:p>
    <w:p w14:paraId="718717C6" w14:textId="77777777" w:rsidR="00A7256B" w:rsidRPr="00351F9C" w:rsidRDefault="00A7256B" w:rsidP="00A7256B">
      <w:pPr>
        <w:numPr>
          <w:ilvl w:val="0"/>
          <w:numId w:val="2"/>
        </w:numPr>
        <w:spacing w:after="160"/>
        <w:jc w:val="both"/>
        <w:rPr>
          <w:rFonts w:ascii="Times New Roman" w:hAnsi="Times New Roman" w:cs="Times New Roman"/>
          <w:color w:val="000000" w:themeColor="text1"/>
        </w:rPr>
      </w:pPr>
      <w:r w:rsidRPr="00351F9C">
        <w:rPr>
          <w:rFonts w:ascii="Times New Roman" w:hAnsi="Times New Roman" w:cs="Times New Roman"/>
          <w:color w:val="000000" w:themeColor="text1"/>
        </w:rPr>
        <w:t>Administrative virtual network environment, with a level of security in between academic and health.</w:t>
      </w:r>
    </w:p>
    <w:p w14:paraId="66A80961" w14:textId="77777777" w:rsidR="00A7256B" w:rsidRPr="00351F9C" w:rsidRDefault="00A7256B" w:rsidP="00A7256B">
      <w:pPr>
        <w:numPr>
          <w:ilvl w:val="0"/>
          <w:numId w:val="2"/>
        </w:numPr>
        <w:spacing w:after="160"/>
        <w:jc w:val="both"/>
        <w:rPr>
          <w:rFonts w:ascii="Times New Roman" w:hAnsi="Times New Roman" w:cs="Times New Roman"/>
          <w:color w:val="000000" w:themeColor="text1"/>
        </w:rPr>
      </w:pPr>
      <w:r w:rsidRPr="00351F9C">
        <w:rPr>
          <w:rFonts w:ascii="Times New Roman" w:hAnsi="Times New Roman" w:cs="Times New Roman"/>
          <w:color w:val="000000" w:themeColor="text1"/>
        </w:rPr>
        <w:t>Industrial building control network environment will allow separating traffic for monitoring and controlling building systems from the networks used by the occupants of the buildings.</w:t>
      </w:r>
    </w:p>
    <w:p w14:paraId="577CB138" w14:textId="77777777" w:rsidR="00A7256B" w:rsidRPr="00351F9C" w:rsidRDefault="00A7256B" w:rsidP="00A7256B">
      <w:pPr>
        <w:jc w:val="both"/>
        <w:rPr>
          <w:rFonts w:ascii="Times New Roman" w:hAnsi="Times New Roman" w:cs="Times New Roman"/>
          <w:color w:val="000000" w:themeColor="text1"/>
        </w:rPr>
      </w:pPr>
      <w:r w:rsidRPr="00351F9C">
        <w:rPr>
          <w:rFonts w:ascii="Times New Roman" w:hAnsi="Times New Roman" w:cs="Times New Roman"/>
          <w:bCs/>
          <w:i/>
          <w:color w:val="000000" w:themeColor="text1"/>
        </w:rPr>
        <w:t>Space, Power and Cooling</w:t>
      </w:r>
      <w:r>
        <w:rPr>
          <w:rFonts w:ascii="Times New Roman" w:hAnsi="Times New Roman" w:cs="Times New Roman"/>
          <w:bCs/>
          <w:i/>
          <w:color w:val="000000" w:themeColor="text1"/>
        </w:rPr>
        <w:t xml:space="preserve">. </w:t>
      </w:r>
      <w:r w:rsidRPr="00351F9C">
        <w:rPr>
          <w:rFonts w:ascii="Times New Roman" w:hAnsi="Times New Roman" w:cs="Times New Roman"/>
          <w:color w:val="000000" w:themeColor="text1"/>
        </w:rPr>
        <w:t xml:space="preserve">The funding model for Research Computing includes the commitment from the Provost, the VP for Research, and the VP and CIO to provide for machine-room facilities with electrical power and cooling and professional staff. The University has a substantial investment in research computing infrastructure including a data center completed in 2013 on the East Campus that provides 10,000 sq. ft. of machine room space, of which 5,000 sq. ft. is dedicated to research computing.  </w:t>
      </w:r>
    </w:p>
    <w:p w14:paraId="65A78928" w14:textId="77777777" w:rsidR="00A7256B" w:rsidRPr="00351F9C" w:rsidRDefault="00A7256B" w:rsidP="00A7256B">
      <w:pPr>
        <w:jc w:val="both"/>
        <w:rPr>
          <w:rFonts w:ascii="Times New Roman" w:hAnsi="Times New Roman" w:cs="Times New Roman"/>
          <w:color w:val="000000" w:themeColor="text1"/>
        </w:rPr>
      </w:pPr>
      <w:r w:rsidRPr="00351F9C">
        <w:rPr>
          <w:rFonts w:ascii="Times New Roman" w:hAnsi="Times New Roman" w:cs="Times New Roman"/>
          <w:bCs/>
          <w:i/>
          <w:color w:val="000000" w:themeColor="text1"/>
        </w:rPr>
        <w:t>Staffing</w:t>
      </w:r>
      <w:r>
        <w:rPr>
          <w:rFonts w:ascii="Times New Roman" w:hAnsi="Times New Roman" w:cs="Times New Roman"/>
          <w:bCs/>
          <w:i/>
          <w:color w:val="000000" w:themeColor="text1"/>
        </w:rPr>
        <w:t xml:space="preserve">. </w:t>
      </w:r>
      <w:r w:rsidRPr="00351F9C">
        <w:rPr>
          <w:rFonts w:ascii="Times New Roman" w:hAnsi="Times New Roman" w:cs="Times New Roman"/>
          <w:color w:val="000000" w:themeColor="text1"/>
        </w:rPr>
        <w:t xml:space="preserve">The University pays the salaries of the 20 highly-qualified, staff members, including several with a PhD or Master degree in science or engineering. Staff members, in addition to sharing in the system design, installation, and administration duties, provide application support and consulting services to faculty members, their research associates, and their graduate students. This support ranges from assistance with job flow management and installation of open-source software to teaching students how to improve the MPI performance of their programs. </w:t>
      </w:r>
    </w:p>
    <w:p w14:paraId="4BAFD51B" w14:textId="2C2750F2" w:rsidR="002036DA" w:rsidRDefault="00A7256B" w:rsidP="00496521">
      <w:pPr>
        <w:jc w:val="both"/>
        <w:rPr>
          <w:rFonts w:ascii="Times New Roman" w:hAnsi="Times New Roman" w:cs="Times New Roman"/>
          <w:color w:val="000000" w:themeColor="text1"/>
        </w:rPr>
      </w:pPr>
      <w:r w:rsidRPr="00351F9C">
        <w:rPr>
          <w:rFonts w:ascii="Times New Roman" w:hAnsi="Times New Roman" w:cs="Times New Roman"/>
          <w:bCs/>
          <w:i/>
          <w:color w:val="000000" w:themeColor="text1"/>
        </w:rPr>
        <w:t>Training and Outreach</w:t>
      </w:r>
      <w:r>
        <w:rPr>
          <w:rFonts w:ascii="Times New Roman" w:hAnsi="Times New Roman" w:cs="Times New Roman"/>
          <w:bCs/>
          <w:i/>
          <w:color w:val="000000" w:themeColor="text1"/>
        </w:rPr>
        <w:t xml:space="preserve">. </w:t>
      </w:r>
      <w:r w:rsidRPr="00351F9C">
        <w:rPr>
          <w:rFonts w:ascii="Times New Roman" w:hAnsi="Times New Roman" w:cs="Times New Roman"/>
          <w:color w:val="000000" w:themeColor="text1"/>
        </w:rPr>
        <w:t xml:space="preserve">Research Computing provides advanced support and training to the user community. Many training materials are now available online. The schedule can be found at </w:t>
      </w:r>
      <w:hyperlink r:id="rId13" w:history="1">
        <w:r w:rsidRPr="00351F9C">
          <w:rPr>
            <w:rStyle w:val="Hyperlink"/>
            <w:rFonts w:ascii="Times New Roman" w:hAnsi="Times New Roman" w:cs="Times New Roman"/>
          </w:rPr>
          <w:t>http://wiki.rc.ufl.edu/doc/Training</w:t>
        </w:r>
      </w:hyperlink>
      <w:r w:rsidRPr="00351F9C">
        <w:rPr>
          <w:rFonts w:ascii="Times New Roman" w:hAnsi="Times New Roman" w:cs="Times New Roman"/>
          <w:color w:val="000000" w:themeColor="text1"/>
        </w:rPr>
        <w:t xml:space="preserve">. In addition, user feedback meetings are held as well as periodic training workshops called </w:t>
      </w:r>
      <w:r w:rsidRPr="00351F9C">
        <w:rPr>
          <w:rFonts w:ascii="Times New Roman" w:hAnsi="Times New Roman" w:cs="Times New Roman"/>
          <w:i/>
          <w:color w:val="000000" w:themeColor="text1"/>
        </w:rPr>
        <w:t>Research Computing Day</w:t>
      </w:r>
      <w:r w:rsidRPr="00351F9C">
        <w:rPr>
          <w:rFonts w:ascii="Times New Roman" w:hAnsi="Times New Roman" w:cs="Times New Roman"/>
          <w:color w:val="000000" w:themeColor="text1"/>
        </w:rPr>
        <w:t xml:space="preserve"> are organized every semester. Several graduate courses use </w:t>
      </w:r>
      <w:proofErr w:type="spellStart"/>
      <w:r w:rsidRPr="00351F9C">
        <w:rPr>
          <w:rFonts w:ascii="Times New Roman" w:hAnsi="Times New Roman" w:cs="Times New Roman"/>
          <w:color w:val="000000" w:themeColor="text1"/>
        </w:rPr>
        <w:t>HiPerGator</w:t>
      </w:r>
      <w:proofErr w:type="spellEnd"/>
      <w:r w:rsidRPr="00351F9C">
        <w:rPr>
          <w:rFonts w:ascii="Times New Roman" w:hAnsi="Times New Roman" w:cs="Times New Roman"/>
          <w:color w:val="000000" w:themeColor="text1"/>
        </w:rPr>
        <w:t xml:space="preserve"> and train and prepare graduate students to use the clusters and the software for their thesis research.</w:t>
      </w:r>
    </w:p>
    <w:p w14:paraId="2270089F" w14:textId="77777777" w:rsidR="009F7AF7" w:rsidRDefault="009F7AF7" w:rsidP="00496521">
      <w:pPr>
        <w:jc w:val="both"/>
        <w:rPr>
          <w:rFonts w:ascii="Times New Roman" w:hAnsi="Times New Roman" w:cs="Times New Roman"/>
          <w:color w:val="000000" w:themeColor="text1"/>
        </w:rPr>
      </w:pPr>
    </w:p>
    <w:p w14:paraId="1E23328D" w14:textId="77777777" w:rsidR="00A50A1A" w:rsidRPr="00A50A1A" w:rsidRDefault="00A50A1A" w:rsidP="00AE2982">
      <w:pPr>
        <w:jc w:val="both"/>
        <w:rPr>
          <w:rFonts w:ascii="Times New Roman" w:hAnsi="Times New Roman" w:cs="Times New Roman"/>
          <w:color w:val="000000" w:themeColor="text1"/>
        </w:rPr>
      </w:pPr>
      <w:bookmarkStart w:id="0" w:name="_GoBack"/>
      <w:bookmarkEnd w:id="0"/>
    </w:p>
    <w:sectPr w:rsidR="00A50A1A" w:rsidRPr="00A50A1A" w:rsidSect="00AB2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E22A0"/>
    <w:multiLevelType w:val="hybridMultilevel"/>
    <w:tmpl w:val="EA401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310E20"/>
    <w:multiLevelType w:val="hybridMultilevel"/>
    <w:tmpl w:val="3118C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915CDF"/>
    <w:multiLevelType w:val="hybridMultilevel"/>
    <w:tmpl w:val="ACD4B3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61771DB"/>
    <w:multiLevelType w:val="hybridMultilevel"/>
    <w:tmpl w:val="585AC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D473BD"/>
    <w:multiLevelType w:val="hybridMultilevel"/>
    <w:tmpl w:val="024EE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8A1974"/>
    <w:multiLevelType w:val="hybridMultilevel"/>
    <w:tmpl w:val="B5AE5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7B0953"/>
    <w:multiLevelType w:val="hybridMultilevel"/>
    <w:tmpl w:val="E07CB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4F2"/>
    <w:rsid w:val="000B574C"/>
    <w:rsid w:val="001247B1"/>
    <w:rsid w:val="00145569"/>
    <w:rsid w:val="002763AA"/>
    <w:rsid w:val="00280383"/>
    <w:rsid w:val="002C6514"/>
    <w:rsid w:val="003614F2"/>
    <w:rsid w:val="004613E1"/>
    <w:rsid w:val="00496521"/>
    <w:rsid w:val="00615CBD"/>
    <w:rsid w:val="006E29E5"/>
    <w:rsid w:val="006F128E"/>
    <w:rsid w:val="007108EE"/>
    <w:rsid w:val="00792CCD"/>
    <w:rsid w:val="007B120C"/>
    <w:rsid w:val="00896689"/>
    <w:rsid w:val="008B7254"/>
    <w:rsid w:val="009F7AF7"/>
    <w:rsid w:val="00A273E0"/>
    <w:rsid w:val="00A50A1A"/>
    <w:rsid w:val="00A7256B"/>
    <w:rsid w:val="00AB22A6"/>
    <w:rsid w:val="00AD71F5"/>
    <w:rsid w:val="00AE2982"/>
    <w:rsid w:val="00B03845"/>
    <w:rsid w:val="00BD4E36"/>
    <w:rsid w:val="00D32B57"/>
    <w:rsid w:val="00D61CAB"/>
    <w:rsid w:val="00DF42FC"/>
    <w:rsid w:val="00E25571"/>
    <w:rsid w:val="00E467E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3849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56B"/>
    <w:pPr>
      <w:spacing w:after="160" w:line="259" w:lineRule="auto"/>
      <w:ind w:left="720"/>
      <w:contextualSpacing/>
    </w:pPr>
    <w:rPr>
      <w:sz w:val="22"/>
      <w:szCs w:val="22"/>
    </w:rPr>
  </w:style>
  <w:style w:type="character" w:styleId="Hyperlink">
    <w:name w:val="Hyperlink"/>
    <w:basedOn w:val="DefaultParagraphFont"/>
    <w:uiPriority w:val="99"/>
    <w:unhideWhenUsed/>
    <w:rsid w:val="00A725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657873">
      <w:bodyDiv w:val="1"/>
      <w:marLeft w:val="0"/>
      <w:marRight w:val="0"/>
      <w:marTop w:val="0"/>
      <w:marBottom w:val="0"/>
      <w:divBdr>
        <w:top w:val="none" w:sz="0" w:space="0" w:color="auto"/>
        <w:left w:val="none" w:sz="0" w:space="0" w:color="auto"/>
        <w:bottom w:val="none" w:sz="0" w:space="0" w:color="auto"/>
        <w:right w:val="none" w:sz="0" w:space="0" w:color="auto"/>
      </w:divBdr>
    </w:div>
    <w:div w:id="816260303">
      <w:bodyDiv w:val="1"/>
      <w:marLeft w:val="0"/>
      <w:marRight w:val="0"/>
      <w:marTop w:val="0"/>
      <w:marBottom w:val="0"/>
      <w:divBdr>
        <w:top w:val="none" w:sz="0" w:space="0" w:color="auto"/>
        <w:left w:val="none" w:sz="0" w:space="0" w:color="auto"/>
        <w:bottom w:val="none" w:sz="0" w:space="0" w:color="auto"/>
        <w:right w:val="none" w:sz="0" w:space="0" w:color="auto"/>
      </w:divBdr>
    </w:div>
    <w:div w:id="1904833059">
      <w:bodyDiv w:val="1"/>
      <w:marLeft w:val="0"/>
      <w:marRight w:val="0"/>
      <w:marTop w:val="0"/>
      <w:marBottom w:val="0"/>
      <w:divBdr>
        <w:top w:val="none" w:sz="0" w:space="0" w:color="auto"/>
        <w:left w:val="none" w:sz="0" w:space="0" w:color="auto"/>
        <w:bottom w:val="none" w:sz="0" w:space="0" w:color="auto"/>
        <w:right w:val="none" w:sz="0" w:space="0" w:color="auto"/>
      </w:divBdr>
    </w:div>
    <w:div w:id="19664235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rc.ufl.edu/resources/hardware/gatorvault/" TargetMode="External"/><Relationship Id="rId12" Type="http://schemas.openxmlformats.org/officeDocument/2006/relationships/hyperlink" Target="http://www.rc.ufl.edu/services/compliant-environment/" TargetMode="External"/><Relationship Id="rId13" Type="http://schemas.openxmlformats.org/officeDocument/2006/relationships/hyperlink" Target="http://wiki.rc.ufl.edu/doc/Trainin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ics-institute.org/facilities/" TargetMode="External"/><Relationship Id="rId6" Type="http://schemas.openxmlformats.org/officeDocument/2006/relationships/hyperlink" Target="http://www.it.ufl.edu/units/" TargetMode="External"/><Relationship Id="rId7" Type="http://schemas.openxmlformats.org/officeDocument/2006/relationships/hyperlink" Target="http://www.rc.ufl.edu" TargetMode="External"/><Relationship Id="rId8" Type="http://schemas.openxmlformats.org/officeDocument/2006/relationships/hyperlink" Target="http://sserca.org" TargetMode="External"/><Relationship Id="rId9" Type="http://schemas.openxmlformats.org/officeDocument/2006/relationships/hyperlink" Target="http://www.rc.ufl.edu/resources/hardware/hipergator-2-0/" TargetMode="External"/><Relationship Id="rId10" Type="http://schemas.openxmlformats.org/officeDocument/2006/relationships/hyperlink" Target="https://shield.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2250</Words>
  <Characters>12828</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15048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Kahveci, Tuba</dc:creator>
  <cp:keywords/>
  <dc:description/>
  <cp:lastModifiedBy>Microsoft Office User</cp:lastModifiedBy>
  <cp:revision>2</cp:revision>
  <dcterms:created xsi:type="dcterms:W3CDTF">2017-11-15T17:10:00Z</dcterms:created>
  <dcterms:modified xsi:type="dcterms:W3CDTF">2017-11-15T17:10:00Z</dcterms:modified>
</cp:coreProperties>
</file>