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2667" w14:textId="20E13EBA" w:rsidR="005E771C" w:rsidRPr="0005725F" w:rsidRDefault="003518DE" w:rsidP="0005725F">
      <w:pPr>
        <w:shd w:val="clear" w:color="auto" w:fill="FFFFFF"/>
        <w:ind w:left="-720" w:right="-720"/>
        <w:rPr>
          <w:color w:val="333333"/>
        </w:rPr>
      </w:pPr>
      <w:r>
        <w:rPr>
          <w:b/>
          <w:color w:val="333333"/>
          <w:sz w:val="44"/>
          <w:szCs w:val="44"/>
        </w:rPr>
        <w:t>Regulatory Guide</w:t>
      </w:r>
      <w:r>
        <w:rPr>
          <w:b/>
          <w:color w:val="333333"/>
          <w:sz w:val="44"/>
          <w:szCs w:val="44"/>
        </w:rPr>
        <w:t xml:space="preserve"> </w:t>
      </w:r>
      <w:r w:rsidR="0005725F">
        <w:rPr>
          <w:b/>
          <w:color w:val="333333"/>
          <w:sz w:val="44"/>
          <w:szCs w:val="44"/>
        </w:rPr>
        <w:br/>
      </w:r>
      <w:r>
        <w:rPr>
          <w:b/>
          <w:color w:val="333333"/>
          <w:sz w:val="44"/>
          <w:szCs w:val="44"/>
        </w:rPr>
        <w:t>Non-Pharmaceutical Skin Lotions &amp; Creams</w:t>
      </w:r>
      <w:r>
        <w:rPr>
          <w:b/>
          <w:color w:val="333333"/>
          <w:sz w:val="44"/>
          <w:szCs w:val="44"/>
        </w:rPr>
        <w:tab/>
      </w:r>
    </w:p>
    <w:p w14:paraId="5755EE58" w14:textId="77777777" w:rsidR="005E771C" w:rsidRDefault="003518DE">
      <w:pPr>
        <w:shd w:val="clear" w:color="auto" w:fill="FFFFFF"/>
        <w:ind w:left="-720" w:right="-720"/>
        <w:rPr>
          <w:color w:val="333333"/>
        </w:rPr>
      </w:pPr>
      <w:r>
        <w:rPr>
          <w:color w:val="333333"/>
        </w:rPr>
        <w:t>U</w:t>
      </w:r>
      <w:r>
        <w:rPr>
          <w:color w:val="333333"/>
        </w:rPr>
        <w:t>pdated: May 26, 2020</w:t>
      </w:r>
      <w:r>
        <w:rPr>
          <w:color w:val="333333"/>
        </w:rPr>
        <w:br/>
        <w:t xml:space="preserve">By: </w:t>
      </w:r>
      <w:proofErr w:type="spellStart"/>
      <w:r>
        <w:rPr>
          <w:color w:val="333333"/>
        </w:rPr>
        <w:t>Tesia</w:t>
      </w:r>
      <w:proofErr w:type="spellEnd"/>
      <w:r>
        <w:rPr>
          <w:color w:val="333333"/>
        </w:rPr>
        <w:t xml:space="preserve"> Kosmalski</w:t>
      </w:r>
    </w:p>
    <w:p w14:paraId="16A59743" w14:textId="77777777" w:rsidR="005E771C" w:rsidRDefault="003518DE">
      <w:pPr>
        <w:shd w:val="clear" w:color="auto" w:fill="FFFFFF"/>
        <w:ind w:left="-720" w:right="-720"/>
        <w:rPr>
          <w:color w:val="333333"/>
        </w:rPr>
      </w:pPr>
      <w:r>
        <w:rPr>
          <w:noProof/>
        </w:rPr>
        <w:pict w14:anchorId="69545E44">
          <v:rect id="_x0000_i1025" alt="" style="width:468pt;height:.05pt;mso-width-percent:0;mso-height-percent:0;mso-width-percent:0;mso-height-percent:0" o:hralign="center" o:hrstd="t" o:hr="t" fillcolor="#a0a0a0" stroked="f"/>
        </w:pict>
      </w:r>
    </w:p>
    <w:p w14:paraId="69A8B164" w14:textId="77777777" w:rsidR="005E771C" w:rsidRDefault="003518DE">
      <w:pPr>
        <w:pStyle w:val="Heading1"/>
        <w:shd w:val="clear" w:color="auto" w:fill="FFFFFF"/>
        <w:ind w:left="-720" w:right="-720"/>
        <w:rPr>
          <w:color w:val="333333"/>
          <w:sz w:val="28"/>
          <w:szCs w:val="28"/>
        </w:rPr>
      </w:pPr>
      <w:bookmarkStart w:id="0" w:name="_sf7qj3fl0ijk" w:colFirst="0" w:colLast="0"/>
      <w:bookmarkEnd w:id="0"/>
      <w:r>
        <w:rPr>
          <w:color w:val="333333"/>
          <w:sz w:val="28"/>
          <w:szCs w:val="28"/>
        </w:rPr>
        <w:t>Overview</w:t>
      </w:r>
    </w:p>
    <w:p w14:paraId="07AA312F" w14:textId="77777777" w:rsidR="005E771C" w:rsidRDefault="003518DE">
      <w:pPr>
        <w:shd w:val="clear" w:color="auto" w:fill="FFFFFF"/>
        <w:ind w:left="-720" w:right="-720"/>
        <w:rPr>
          <w:color w:val="333333"/>
        </w:rPr>
      </w:pPr>
      <w:r>
        <w:rPr>
          <w:color w:val="333333"/>
        </w:rPr>
        <w:t>As a producer of medicated creams for psoriasis and eczema, we must understand the different regulatory co</w:t>
      </w:r>
      <w:r>
        <w:rPr>
          <w:color w:val="333333"/>
        </w:rPr>
        <w:t>nditions for our new product line of non-medicated lotions (Nutrition, 2020). This guide aims to inform technical writers, with previous pharmaceutical labeling experience, of the required labeling considerations for skin lotions and creams that are not co</w:t>
      </w:r>
      <w:r>
        <w:rPr>
          <w:color w:val="333333"/>
        </w:rPr>
        <w:t xml:space="preserve">nsidered drugs.  </w:t>
      </w:r>
    </w:p>
    <w:p w14:paraId="272D821C" w14:textId="77777777" w:rsidR="005E771C" w:rsidRDefault="005E771C">
      <w:pPr>
        <w:pStyle w:val="Heading2"/>
        <w:shd w:val="clear" w:color="auto" w:fill="FFFFFF"/>
        <w:ind w:left="-720" w:right="-720"/>
        <w:rPr>
          <w:color w:val="333333"/>
        </w:rPr>
      </w:pPr>
    </w:p>
    <w:p w14:paraId="17E54231" w14:textId="77777777" w:rsidR="005E771C" w:rsidRDefault="003518DE">
      <w:pPr>
        <w:pStyle w:val="Heading2"/>
        <w:shd w:val="clear" w:color="auto" w:fill="FFFFFF"/>
        <w:ind w:left="-720" w:right="-720"/>
        <w:rPr>
          <w:color w:val="333333"/>
        </w:rPr>
      </w:pPr>
      <w:bookmarkStart w:id="1" w:name="_vwnft8s0pqs3" w:colFirst="0" w:colLast="0"/>
      <w:bookmarkEnd w:id="1"/>
      <w:r>
        <w:rPr>
          <w:color w:val="333333"/>
        </w:rPr>
        <w:t xml:space="preserve">Lotion: </w:t>
      </w:r>
      <w:proofErr w:type="gramStart"/>
      <w:r>
        <w:rPr>
          <w:color w:val="333333"/>
        </w:rPr>
        <w:t>a</w:t>
      </w:r>
      <w:proofErr w:type="gramEnd"/>
      <w:r>
        <w:rPr>
          <w:color w:val="333333"/>
        </w:rPr>
        <w:t xml:space="preserve"> Cosmetic or Drug?</w:t>
      </w:r>
    </w:p>
    <w:p w14:paraId="5129195B" w14:textId="77777777" w:rsidR="005E771C" w:rsidRDefault="003518DE">
      <w:pPr>
        <w:shd w:val="clear" w:color="auto" w:fill="FFFFFF"/>
        <w:ind w:left="-720" w:right="-720"/>
        <w:rPr>
          <w:color w:val="333333"/>
        </w:rPr>
      </w:pPr>
      <w:r>
        <w:rPr>
          <w:color w:val="333333"/>
        </w:rPr>
        <w:t>The FDA considers all non-pharmaceutical skin creams and lotions a cosmetic product. A cosmetic is defined as “a product (excluding pure soap) intended to be applied to the human body for cleansing, beautifyin</w:t>
      </w:r>
      <w:r>
        <w:rPr>
          <w:color w:val="333333"/>
        </w:rPr>
        <w:t xml:space="preserve">g, promoting attractiveness, or altering the appearance” (Nutrition, 2020). Cosmetic products do not need to be approved by the FDA before they go to market. However, the ingredients must be considered safe for cosmetic use, listed clearly on a label, and </w:t>
      </w:r>
      <w:r>
        <w:rPr>
          <w:color w:val="333333"/>
        </w:rPr>
        <w:t>not misrepresented. Any claim that these lotions t</w:t>
      </w:r>
      <w:r>
        <w:rPr>
          <w:color w:val="333333"/>
        </w:rPr>
        <w:t xml:space="preserve">reat disease or otherwise affect the structure of </w:t>
      </w:r>
      <w:proofErr w:type="spellStart"/>
      <w:r>
        <w:rPr>
          <w:color w:val="333333"/>
        </w:rPr>
        <w:t>any body</w:t>
      </w:r>
      <w:proofErr w:type="spellEnd"/>
      <w:r>
        <w:rPr>
          <w:color w:val="333333"/>
        </w:rPr>
        <w:t xml:space="preserve"> function will define the product as a drug, thus subject to additional FDA regulations. </w:t>
      </w:r>
      <w:r>
        <w:rPr>
          <w:color w:val="333333"/>
        </w:rPr>
        <w:br/>
      </w:r>
    </w:p>
    <w:p w14:paraId="30BEA3CF" w14:textId="77777777" w:rsidR="005E771C" w:rsidRDefault="003518DE">
      <w:pPr>
        <w:pStyle w:val="Heading2"/>
        <w:shd w:val="clear" w:color="auto" w:fill="FFFFFF"/>
        <w:ind w:left="-720" w:right="-720"/>
        <w:rPr>
          <w:color w:val="333333"/>
        </w:rPr>
      </w:pPr>
      <w:bookmarkStart w:id="2" w:name="_bjspcija2uuy" w:colFirst="0" w:colLast="0"/>
      <w:bookmarkEnd w:id="2"/>
      <w:r>
        <w:rPr>
          <w:color w:val="333333"/>
        </w:rPr>
        <w:t xml:space="preserve">Submitting to the </w:t>
      </w:r>
      <w:r>
        <w:rPr>
          <w:color w:val="333333"/>
        </w:rPr>
        <w:t>Professional VCRP</w:t>
      </w:r>
    </w:p>
    <w:p w14:paraId="1C9EF752" w14:textId="77777777" w:rsidR="005E771C" w:rsidRDefault="003518DE">
      <w:pPr>
        <w:shd w:val="clear" w:color="auto" w:fill="FFFFFF"/>
        <w:ind w:left="-720" w:right="-720"/>
        <w:rPr>
          <w:color w:val="333333"/>
        </w:rPr>
      </w:pPr>
      <w:r>
        <w:rPr>
          <w:color w:val="333333"/>
        </w:rPr>
        <w:t>The</w:t>
      </w:r>
      <w:hyperlink r:id="rId6">
        <w:r>
          <w:rPr>
            <w:color w:val="1155CC"/>
            <w:u w:val="single"/>
          </w:rPr>
          <w:t xml:space="preserve"> Voluntary Cosmetic Registration Program</w:t>
        </w:r>
        <w:r w:rsidRPr="00BA3F45">
          <w:rPr>
            <w:color w:val="000000" w:themeColor="text1"/>
          </w:rPr>
          <w:t xml:space="preserve"> is the reporting system</w:t>
        </w:r>
      </w:hyperlink>
      <w:r>
        <w:rPr>
          <w:color w:val="333333"/>
        </w:rPr>
        <w:t xml:space="preserve"> used by manufacturers, packers, and distributors of commercial cosmetic products in the United States. Submitting to the</w:t>
      </w:r>
      <w:r>
        <w:rPr>
          <w:color w:val="333333"/>
        </w:rPr>
        <w:t xml:space="preserve"> VCRP is highly recommended when a new product is released (</w:t>
      </w:r>
      <w:r>
        <w:rPr>
          <w:i/>
          <w:color w:val="333333"/>
        </w:rPr>
        <w:t>Voluntary Cosmetic Registration Program | FDA</w:t>
      </w:r>
      <w:r>
        <w:rPr>
          <w:color w:val="333333"/>
        </w:rPr>
        <w:t>, n.d.). The</w:t>
      </w:r>
      <w:hyperlink r:id="rId7">
        <w:r>
          <w:rPr>
            <w:color w:val="1155CC"/>
            <w:u w:val="single"/>
          </w:rPr>
          <w:t xml:space="preserve"> Cosmetic Ingredient Review (CIR)</w:t>
        </w:r>
      </w:hyperlink>
      <w:r>
        <w:rPr>
          <w:color w:val="333333"/>
        </w:rPr>
        <w:t>, an independent, industry-funded panel of scientific exper</w:t>
      </w:r>
      <w:r>
        <w:rPr>
          <w:color w:val="333333"/>
        </w:rPr>
        <w:t xml:space="preserve">ts, uses this system to contribute to their assessments of ingredient safety. </w:t>
      </w:r>
    </w:p>
    <w:p w14:paraId="1982C455" w14:textId="77777777" w:rsidR="005E771C" w:rsidRDefault="005E771C">
      <w:pPr>
        <w:shd w:val="clear" w:color="auto" w:fill="FFFFFF"/>
        <w:ind w:left="-720" w:right="-720"/>
        <w:rPr>
          <w:color w:val="333333"/>
        </w:rPr>
      </w:pPr>
    </w:p>
    <w:p w14:paraId="48B2A58E" w14:textId="77777777" w:rsidR="005E771C" w:rsidRDefault="003518DE">
      <w:pPr>
        <w:pStyle w:val="Heading2"/>
        <w:shd w:val="clear" w:color="auto" w:fill="FFFFFF"/>
        <w:ind w:left="-720" w:right="-720"/>
        <w:rPr>
          <w:color w:val="333333"/>
        </w:rPr>
      </w:pPr>
      <w:bookmarkStart w:id="3" w:name="_rr0kc36bupss" w:colFirst="0" w:colLast="0"/>
      <w:bookmarkEnd w:id="3"/>
      <w:r>
        <w:rPr>
          <w:color w:val="333333"/>
        </w:rPr>
        <w:t>Customer Ingredient Review (CIR) and Ingredients Lists</w:t>
      </w:r>
    </w:p>
    <w:p w14:paraId="088606AA" w14:textId="77777777" w:rsidR="005E771C" w:rsidRDefault="003518DE">
      <w:pPr>
        <w:shd w:val="clear" w:color="auto" w:fill="FFFFFF"/>
        <w:ind w:left="-720" w:right="-720"/>
        <w:rPr>
          <w:color w:val="333333"/>
        </w:rPr>
      </w:pPr>
      <w:hyperlink r:id="rId8">
        <w:r>
          <w:rPr>
            <w:color w:val="1155CC"/>
            <w:u w:val="single"/>
          </w:rPr>
          <w:t>The CIR</w:t>
        </w:r>
      </w:hyperlink>
      <w:r>
        <w:rPr>
          <w:color w:val="333333"/>
        </w:rPr>
        <w:t xml:space="preserve"> has a </w:t>
      </w:r>
      <w:hyperlink r:id="rId9">
        <w:r>
          <w:rPr>
            <w:color w:val="1155CC"/>
            <w:u w:val="single"/>
          </w:rPr>
          <w:t>record of all cosmetic ingredients</w:t>
        </w:r>
      </w:hyperlink>
      <w:r>
        <w:rPr>
          <w:color w:val="333333"/>
        </w:rPr>
        <w:t xml:space="preserve"> that are approved, unapproved, or in a</w:t>
      </w:r>
      <w:r>
        <w:rPr>
          <w:color w:val="333333"/>
        </w:rPr>
        <w:t xml:space="preserve"> varying state of approval. Use these lists to help you confirm spellings or the need for potential warnings (</w:t>
      </w:r>
      <w:r>
        <w:rPr>
          <w:i/>
          <w:color w:val="333333"/>
        </w:rPr>
        <w:t>CIR Findings | C</w:t>
      </w:r>
      <w:r>
        <w:rPr>
          <w:i/>
          <w:color w:val="333333"/>
        </w:rPr>
        <w:t>osmetic Ingredient Review</w:t>
      </w:r>
      <w:r>
        <w:rPr>
          <w:color w:val="333333"/>
        </w:rPr>
        <w:t>, n.d.).</w:t>
      </w:r>
    </w:p>
    <w:tbl>
      <w:tblPr>
        <w:tblStyle w:val="a"/>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725"/>
        <w:gridCol w:w="1635"/>
        <w:gridCol w:w="1680"/>
      </w:tblGrid>
      <w:tr w:rsidR="005E771C" w14:paraId="0F82466C" w14:textId="77777777">
        <w:tc>
          <w:tcPr>
            <w:tcW w:w="1680" w:type="dxa"/>
            <w:shd w:val="clear" w:color="auto" w:fill="auto"/>
            <w:tcMar>
              <w:top w:w="100" w:type="dxa"/>
              <w:left w:w="100" w:type="dxa"/>
              <w:bottom w:w="100" w:type="dxa"/>
              <w:right w:w="100" w:type="dxa"/>
            </w:tcMar>
          </w:tcPr>
          <w:p w14:paraId="18BA6594" w14:textId="77777777" w:rsidR="005E771C" w:rsidRDefault="003518DE">
            <w:pPr>
              <w:widowControl w:val="0"/>
              <w:spacing w:line="240" w:lineRule="auto"/>
              <w:rPr>
                <w:color w:val="333333"/>
              </w:rPr>
            </w:pPr>
            <w:hyperlink r:id="rId10">
              <w:r>
                <w:rPr>
                  <w:color w:val="1155CC"/>
                  <w:u w:val="single"/>
                </w:rPr>
                <w:t>Safe as Used</w:t>
              </w:r>
            </w:hyperlink>
            <w:r>
              <w:rPr>
                <w:color w:val="333333"/>
              </w:rPr>
              <w:t xml:space="preserve"> </w:t>
            </w:r>
          </w:p>
        </w:tc>
        <w:tc>
          <w:tcPr>
            <w:tcW w:w="1680" w:type="dxa"/>
            <w:shd w:val="clear" w:color="auto" w:fill="auto"/>
            <w:tcMar>
              <w:top w:w="100" w:type="dxa"/>
              <w:left w:w="100" w:type="dxa"/>
              <w:bottom w:w="100" w:type="dxa"/>
              <w:right w:w="100" w:type="dxa"/>
            </w:tcMar>
          </w:tcPr>
          <w:p w14:paraId="41D78C9F" w14:textId="77777777" w:rsidR="005E771C" w:rsidRDefault="003518DE">
            <w:pPr>
              <w:widowControl w:val="0"/>
              <w:spacing w:line="240" w:lineRule="auto"/>
              <w:rPr>
                <w:color w:val="333333"/>
              </w:rPr>
            </w:pPr>
            <w:hyperlink r:id="rId11">
              <w:r>
                <w:rPr>
                  <w:color w:val="1155CC"/>
                  <w:u w:val="single"/>
                </w:rPr>
                <w:t xml:space="preserve">Safe with </w:t>
              </w:r>
              <w:r>
                <w:rPr>
                  <w:color w:val="1155CC"/>
                  <w:u w:val="single"/>
                </w:rPr>
                <w:lastRenderedPageBreak/>
                <w:t>Qualifications</w:t>
              </w:r>
            </w:hyperlink>
          </w:p>
        </w:tc>
        <w:tc>
          <w:tcPr>
            <w:tcW w:w="1680" w:type="dxa"/>
            <w:shd w:val="clear" w:color="auto" w:fill="auto"/>
            <w:tcMar>
              <w:top w:w="100" w:type="dxa"/>
              <w:left w:w="100" w:type="dxa"/>
              <w:bottom w:w="100" w:type="dxa"/>
              <w:right w:w="100" w:type="dxa"/>
            </w:tcMar>
          </w:tcPr>
          <w:p w14:paraId="053A8FE6" w14:textId="77777777" w:rsidR="005E771C" w:rsidRDefault="003518DE">
            <w:pPr>
              <w:widowControl w:val="0"/>
              <w:spacing w:line="240" w:lineRule="auto"/>
              <w:rPr>
                <w:color w:val="333333"/>
              </w:rPr>
            </w:pPr>
            <w:hyperlink r:id="rId12">
              <w:r>
                <w:rPr>
                  <w:color w:val="1155CC"/>
                  <w:u w:val="single"/>
                </w:rPr>
                <w:t>Zero Uses</w:t>
              </w:r>
            </w:hyperlink>
          </w:p>
        </w:tc>
        <w:tc>
          <w:tcPr>
            <w:tcW w:w="1725" w:type="dxa"/>
            <w:shd w:val="clear" w:color="auto" w:fill="auto"/>
            <w:tcMar>
              <w:top w:w="100" w:type="dxa"/>
              <w:left w:w="100" w:type="dxa"/>
              <w:bottom w:w="100" w:type="dxa"/>
              <w:right w:w="100" w:type="dxa"/>
            </w:tcMar>
          </w:tcPr>
          <w:p w14:paraId="32AF1FC1" w14:textId="77777777" w:rsidR="005E771C" w:rsidRDefault="003518DE">
            <w:pPr>
              <w:widowControl w:val="0"/>
              <w:spacing w:line="240" w:lineRule="auto"/>
              <w:rPr>
                <w:color w:val="333333"/>
              </w:rPr>
            </w:pPr>
            <w:hyperlink r:id="rId13">
              <w:r>
                <w:rPr>
                  <w:color w:val="1155CC"/>
                  <w:u w:val="single"/>
                </w:rPr>
                <w:t xml:space="preserve">Insufficient </w:t>
              </w:r>
              <w:r>
                <w:rPr>
                  <w:color w:val="1155CC"/>
                  <w:u w:val="single"/>
                </w:rPr>
                <w:lastRenderedPageBreak/>
                <w:t>Data</w:t>
              </w:r>
            </w:hyperlink>
          </w:p>
        </w:tc>
        <w:tc>
          <w:tcPr>
            <w:tcW w:w="1635" w:type="dxa"/>
            <w:shd w:val="clear" w:color="auto" w:fill="auto"/>
            <w:tcMar>
              <w:top w:w="100" w:type="dxa"/>
              <w:left w:w="100" w:type="dxa"/>
              <w:bottom w:w="100" w:type="dxa"/>
              <w:right w:w="100" w:type="dxa"/>
            </w:tcMar>
          </w:tcPr>
          <w:p w14:paraId="0362079C" w14:textId="77777777" w:rsidR="005E771C" w:rsidRDefault="003518DE">
            <w:pPr>
              <w:widowControl w:val="0"/>
              <w:spacing w:line="240" w:lineRule="auto"/>
              <w:rPr>
                <w:color w:val="333333"/>
              </w:rPr>
            </w:pPr>
            <w:hyperlink r:id="rId14">
              <w:r>
                <w:rPr>
                  <w:color w:val="1155CC"/>
                  <w:u w:val="single"/>
                </w:rPr>
                <w:t xml:space="preserve">Prohibited &amp; </w:t>
              </w:r>
              <w:r>
                <w:rPr>
                  <w:color w:val="1155CC"/>
                  <w:u w:val="single"/>
                </w:rPr>
                <w:lastRenderedPageBreak/>
                <w:t xml:space="preserve">Restricted </w:t>
              </w:r>
            </w:hyperlink>
          </w:p>
        </w:tc>
        <w:tc>
          <w:tcPr>
            <w:tcW w:w="1680" w:type="dxa"/>
            <w:shd w:val="clear" w:color="auto" w:fill="auto"/>
            <w:tcMar>
              <w:top w:w="100" w:type="dxa"/>
              <w:left w:w="100" w:type="dxa"/>
              <w:bottom w:w="100" w:type="dxa"/>
              <w:right w:w="100" w:type="dxa"/>
            </w:tcMar>
          </w:tcPr>
          <w:p w14:paraId="62CA8CA3" w14:textId="77777777" w:rsidR="005E771C" w:rsidRDefault="003518DE">
            <w:pPr>
              <w:widowControl w:val="0"/>
              <w:spacing w:line="240" w:lineRule="auto"/>
              <w:rPr>
                <w:color w:val="333333"/>
              </w:rPr>
            </w:pPr>
            <w:hyperlink r:id="rId15">
              <w:r>
                <w:rPr>
                  <w:color w:val="1155CC"/>
                  <w:u w:val="single"/>
                </w:rPr>
                <w:t>Unsafe</w:t>
              </w:r>
            </w:hyperlink>
          </w:p>
        </w:tc>
      </w:tr>
    </w:tbl>
    <w:p w14:paraId="13D464B8" w14:textId="77777777" w:rsidR="005E771C" w:rsidRDefault="003518DE">
      <w:pPr>
        <w:pStyle w:val="Heading1"/>
        <w:shd w:val="clear" w:color="auto" w:fill="FFFFFF"/>
        <w:ind w:left="-720" w:right="-720"/>
        <w:rPr>
          <w:color w:val="333333"/>
          <w:sz w:val="28"/>
          <w:szCs w:val="28"/>
        </w:rPr>
      </w:pPr>
      <w:bookmarkStart w:id="4" w:name="_p4mvo8q71nh2" w:colFirst="0" w:colLast="0"/>
      <w:bookmarkEnd w:id="4"/>
      <w:r>
        <w:rPr>
          <w:color w:val="333333"/>
          <w:sz w:val="28"/>
          <w:szCs w:val="28"/>
        </w:rPr>
        <w:br/>
        <w:t>Labeling Requirements</w:t>
      </w:r>
    </w:p>
    <w:p w14:paraId="5628A542" w14:textId="77777777" w:rsidR="005E771C" w:rsidRDefault="003518DE">
      <w:pPr>
        <w:pStyle w:val="Heading2"/>
        <w:keepNext w:val="0"/>
        <w:keepLines w:val="0"/>
        <w:shd w:val="clear" w:color="auto" w:fill="FFFFFF"/>
        <w:ind w:left="-720" w:right="-720"/>
        <w:rPr>
          <w:color w:val="333333"/>
        </w:rPr>
      </w:pPr>
      <w:bookmarkStart w:id="5" w:name="_kkj7v4ea1dsi" w:colFirst="0" w:colLast="0"/>
      <w:bookmarkEnd w:id="5"/>
      <w:r>
        <w:rPr>
          <w:color w:val="333333"/>
        </w:rPr>
        <w:t>Label Type - Principal Display Panel (PDP)</w:t>
      </w:r>
    </w:p>
    <w:p w14:paraId="7058BA94" w14:textId="5E12D55B" w:rsidR="005E771C" w:rsidRDefault="003518DE">
      <w:pPr>
        <w:shd w:val="clear" w:color="auto" w:fill="FFFFFF"/>
        <w:ind w:left="-720" w:right="-720"/>
        <w:rPr>
          <w:color w:val="333333"/>
        </w:rPr>
      </w:pPr>
      <w:r>
        <w:rPr>
          <w:color w:val="333333"/>
        </w:rPr>
        <w:t xml:space="preserve">The "principal display panel" is the part of the label most likely </w:t>
      </w:r>
      <w:r>
        <w:rPr>
          <w:color w:val="333333"/>
        </w:rPr>
        <w:t>examined under the customary conditions of retail sale. The label is usually placed on the front panel of the outer package (Nutrition, 2020).</w:t>
      </w:r>
      <w:r>
        <w:rPr>
          <w:color w:val="333333"/>
        </w:rPr>
        <w:br/>
      </w:r>
    </w:p>
    <w:tbl>
      <w:tblPr>
        <w:tblStyle w:val="a0"/>
        <w:tblW w:w="1060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6675"/>
      </w:tblGrid>
      <w:tr w:rsidR="005E771C" w14:paraId="388EFD63" w14:textId="77777777">
        <w:tc>
          <w:tcPr>
            <w:tcW w:w="3930" w:type="dxa"/>
            <w:shd w:val="clear" w:color="auto" w:fill="B7B7B7"/>
            <w:tcMar>
              <w:top w:w="100" w:type="dxa"/>
              <w:left w:w="100" w:type="dxa"/>
              <w:bottom w:w="100" w:type="dxa"/>
              <w:right w:w="100" w:type="dxa"/>
            </w:tcMar>
          </w:tcPr>
          <w:p w14:paraId="16FAA54C" w14:textId="77777777" w:rsidR="005E771C" w:rsidRDefault="003518DE">
            <w:pPr>
              <w:widowControl w:val="0"/>
              <w:spacing w:line="240" w:lineRule="auto"/>
              <w:rPr>
                <w:b/>
                <w:color w:val="FFFFFF"/>
              </w:rPr>
            </w:pPr>
            <w:r w:rsidRPr="00C11810">
              <w:rPr>
                <w:b/>
                <w:color w:val="FFFFFF" w:themeColor="background1"/>
                <w:highlight w:val="none"/>
              </w:rPr>
              <w:t>Content Type</w:t>
            </w:r>
          </w:p>
        </w:tc>
        <w:tc>
          <w:tcPr>
            <w:tcW w:w="6675" w:type="dxa"/>
            <w:shd w:val="clear" w:color="auto" w:fill="B7B7B7"/>
            <w:tcMar>
              <w:top w:w="100" w:type="dxa"/>
              <w:left w:w="100" w:type="dxa"/>
              <w:bottom w:w="100" w:type="dxa"/>
              <w:right w:w="100" w:type="dxa"/>
            </w:tcMar>
          </w:tcPr>
          <w:p w14:paraId="28A40CE2" w14:textId="77777777" w:rsidR="005E771C" w:rsidRDefault="003518DE">
            <w:pPr>
              <w:widowControl w:val="0"/>
              <w:spacing w:line="240" w:lineRule="auto"/>
              <w:rPr>
                <w:b/>
                <w:color w:val="FFFFFF"/>
              </w:rPr>
            </w:pPr>
            <w:r w:rsidRPr="00C11810">
              <w:rPr>
                <w:b/>
                <w:color w:val="FFFFFF"/>
                <w:highlight w:val="none"/>
              </w:rPr>
              <w:t>Description</w:t>
            </w:r>
          </w:p>
        </w:tc>
      </w:tr>
      <w:tr w:rsidR="005E771C" w14:paraId="13759A47" w14:textId="77777777">
        <w:tc>
          <w:tcPr>
            <w:tcW w:w="3930" w:type="dxa"/>
            <w:shd w:val="clear" w:color="auto" w:fill="auto"/>
            <w:tcMar>
              <w:top w:w="100" w:type="dxa"/>
              <w:left w:w="100" w:type="dxa"/>
              <w:bottom w:w="100" w:type="dxa"/>
              <w:right w:w="100" w:type="dxa"/>
            </w:tcMar>
          </w:tcPr>
          <w:p w14:paraId="609B9D26" w14:textId="142910BC" w:rsidR="005E771C" w:rsidRDefault="003518DE">
            <w:pPr>
              <w:shd w:val="clear" w:color="auto" w:fill="FFFFFF"/>
              <w:spacing w:line="240" w:lineRule="auto"/>
              <w:ind w:right="-720"/>
              <w:rPr>
                <w:color w:val="333333"/>
              </w:rPr>
            </w:pPr>
            <w:r>
              <w:rPr>
                <w:color w:val="333333"/>
              </w:rPr>
              <w:t xml:space="preserve">Identity </w:t>
            </w:r>
            <w:r w:rsidR="00C11810">
              <w:rPr>
                <w:color w:val="333333"/>
              </w:rPr>
              <w:t>s</w:t>
            </w:r>
            <w:r>
              <w:rPr>
                <w:color w:val="333333"/>
              </w:rPr>
              <w:t>tatement</w:t>
            </w:r>
          </w:p>
        </w:tc>
        <w:tc>
          <w:tcPr>
            <w:tcW w:w="6675" w:type="dxa"/>
            <w:shd w:val="clear" w:color="auto" w:fill="auto"/>
            <w:tcMar>
              <w:top w:w="100" w:type="dxa"/>
              <w:left w:w="100" w:type="dxa"/>
              <w:bottom w:w="100" w:type="dxa"/>
              <w:right w:w="100" w:type="dxa"/>
            </w:tcMar>
          </w:tcPr>
          <w:p w14:paraId="4CE8A102" w14:textId="77777777" w:rsidR="005E771C" w:rsidRDefault="003518DE">
            <w:pPr>
              <w:shd w:val="clear" w:color="auto" w:fill="FFFFFF"/>
              <w:spacing w:line="240" w:lineRule="auto"/>
              <w:ind w:right="-15"/>
              <w:rPr>
                <w:color w:val="333333"/>
              </w:rPr>
            </w:pPr>
            <w:r>
              <w:rPr>
                <w:color w:val="333333"/>
              </w:rPr>
              <w:t xml:space="preserve">Establishes the nature and use of the product. This could include a common name, a descriptive name, a fanciful name understood by the public, or an illustration. </w:t>
            </w:r>
          </w:p>
        </w:tc>
      </w:tr>
      <w:tr w:rsidR="005E771C" w14:paraId="74E5DD51" w14:textId="77777777">
        <w:tc>
          <w:tcPr>
            <w:tcW w:w="3930" w:type="dxa"/>
            <w:shd w:val="clear" w:color="auto" w:fill="auto"/>
            <w:tcMar>
              <w:top w:w="100" w:type="dxa"/>
              <w:left w:w="100" w:type="dxa"/>
              <w:bottom w:w="100" w:type="dxa"/>
              <w:right w:w="100" w:type="dxa"/>
            </w:tcMar>
          </w:tcPr>
          <w:p w14:paraId="21AC5363" w14:textId="77777777" w:rsidR="005E771C" w:rsidRDefault="003518DE">
            <w:pPr>
              <w:shd w:val="clear" w:color="auto" w:fill="FFFFFF"/>
              <w:spacing w:line="240" w:lineRule="auto"/>
              <w:ind w:right="-720"/>
              <w:rPr>
                <w:color w:val="333333"/>
              </w:rPr>
            </w:pPr>
            <w:r>
              <w:rPr>
                <w:color w:val="333333"/>
              </w:rPr>
              <w:t xml:space="preserve">Statement of net quantity of </w:t>
            </w:r>
          </w:p>
          <w:p w14:paraId="6B07BC47" w14:textId="77777777" w:rsidR="005E771C" w:rsidRDefault="003518DE">
            <w:pPr>
              <w:shd w:val="clear" w:color="auto" w:fill="FFFFFF"/>
              <w:spacing w:line="240" w:lineRule="auto"/>
              <w:ind w:right="-720"/>
              <w:rPr>
                <w:color w:val="333333"/>
              </w:rPr>
            </w:pPr>
            <w:r>
              <w:rPr>
                <w:color w:val="333333"/>
              </w:rPr>
              <w:t xml:space="preserve">contents </w:t>
            </w:r>
          </w:p>
        </w:tc>
        <w:tc>
          <w:tcPr>
            <w:tcW w:w="6675" w:type="dxa"/>
            <w:shd w:val="clear" w:color="auto" w:fill="auto"/>
            <w:tcMar>
              <w:top w:w="100" w:type="dxa"/>
              <w:left w:w="100" w:type="dxa"/>
              <w:bottom w:w="100" w:type="dxa"/>
              <w:right w:w="100" w:type="dxa"/>
            </w:tcMar>
          </w:tcPr>
          <w:p w14:paraId="22CEDC4B" w14:textId="77777777" w:rsidR="005E771C" w:rsidRDefault="003518DE">
            <w:pPr>
              <w:shd w:val="clear" w:color="auto" w:fill="FFFFFF"/>
              <w:spacing w:line="240" w:lineRule="auto"/>
              <w:ind w:right="-720"/>
              <w:rPr>
                <w:color w:val="333333"/>
              </w:rPr>
            </w:pPr>
            <w:r>
              <w:rPr>
                <w:color w:val="333333"/>
              </w:rPr>
              <w:t>Weight, measure, numerical count, or a combination.</w:t>
            </w:r>
          </w:p>
        </w:tc>
      </w:tr>
    </w:tbl>
    <w:p w14:paraId="316875D8" w14:textId="77777777" w:rsidR="005E771C" w:rsidRDefault="005E771C">
      <w:pPr>
        <w:shd w:val="clear" w:color="auto" w:fill="FFFFFF"/>
        <w:ind w:left="-720" w:right="-720"/>
        <w:rPr>
          <w:color w:val="333333"/>
        </w:rPr>
      </w:pPr>
    </w:p>
    <w:p w14:paraId="0F7DBE68" w14:textId="77777777" w:rsidR="005E771C" w:rsidRDefault="003518DE">
      <w:pPr>
        <w:pStyle w:val="Heading2"/>
        <w:shd w:val="clear" w:color="auto" w:fill="FFFFFF"/>
        <w:ind w:left="-720" w:right="-720"/>
        <w:rPr>
          <w:color w:val="333333"/>
        </w:rPr>
      </w:pPr>
      <w:bookmarkStart w:id="6" w:name="_pxks5iwdagwu" w:colFirst="0" w:colLast="0"/>
      <w:bookmarkEnd w:id="6"/>
      <w:r>
        <w:rPr>
          <w:color w:val="333333"/>
        </w:rPr>
        <w:t>Label Type - Information Panel</w:t>
      </w:r>
    </w:p>
    <w:p w14:paraId="65FE5493" w14:textId="77777777" w:rsidR="005E771C" w:rsidRDefault="003518DE">
      <w:pPr>
        <w:shd w:val="clear" w:color="auto" w:fill="FFFFFF"/>
        <w:ind w:left="-720" w:right="-720"/>
        <w:rPr>
          <w:color w:val="333333"/>
        </w:rPr>
      </w:pPr>
      <w:r>
        <w:rPr>
          <w:color w:val="333333"/>
        </w:rPr>
        <w:t xml:space="preserve">Back and side panels are generally considered information panels. Information panels must be prominent and conspicuous. </w:t>
      </w:r>
    </w:p>
    <w:tbl>
      <w:tblPr>
        <w:tblStyle w:val="a1"/>
        <w:tblW w:w="1060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6660"/>
      </w:tblGrid>
      <w:tr w:rsidR="005E771C" w14:paraId="57A09649" w14:textId="77777777">
        <w:tc>
          <w:tcPr>
            <w:tcW w:w="3945" w:type="dxa"/>
            <w:shd w:val="clear" w:color="auto" w:fill="B7B7B7"/>
            <w:tcMar>
              <w:top w:w="100" w:type="dxa"/>
              <w:left w:w="100" w:type="dxa"/>
              <w:bottom w:w="100" w:type="dxa"/>
              <w:right w:w="100" w:type="dxa"/>
            </w:tcMar>
          </w:tcPr>
          <w:p w14:paraId="68FF7F77" w14:textId="77777777" w:rsidR="005E771C" w:rsidRDefault="003518DE">
            <w:pPr>
              <w:widowControl w:val="0"/>
              <w:spacing w:line="240" w:lineRule="auto"/>
              <w:rPr>
                <w:b/>
                <w:color w:val="FFFFFF"/>
              </w:rPr>
            </w:pPr>
            <w:r w:rsidRPr="00C11810">
              <w:rPr>
                <w:b/>
                <w:color w:val="FFFFFF"/>
                <w:highlight w:val="none"/>
              </w:rPr>
              <w:t>Content Type</w:t>
            </w:r>
          </w:p>
        </w:tc>
        <w:tc>
          <w:tcPr>
            <w:tcW w:w="6660" w:type="dxa"/>
            <w:shd w:val="clear" w:color="auto" w:fill="B7B7B7"/>
            <w:tcMar>
              <w:top w:w="100" w:type="dxa"/>
              <w:left w:w="100" w:type="dxa"/>
              <w:bottom w:w="100" w:type="dxa"/>
              <w:right w:w="100" w:type="dxa"/>
            </w:tcMar>
          </w:tcPr>
          <w:p w14:paraId="2CC9DFEF" w14:textId="77777777" w:rsidR="005E771C" w:rsidRDefault="003518DE">
            <w:pPr>
              <w:widowControl w:val="0"/>
              <w:spacing w:line="240" w:lineRule="auto"/>
              <w:rPr>
                <w:b/>
                <w:color w:val="FFFFFF"/>
              </w:rPr>
            </w:pPr>
            <w:r w:rsidRPr="00C11810">
              <w:rPr>
                <w:b/>
                <w:color w:val="FFFFFF"/>
                <w:highlight w:val="none"/>
              </w:rPr>
              <w:t>Description</w:t>
            </w:r>
          </w:p>
        </w:tc>
      </w:tr>
      <w:tr w:rsidR="005E771C" w14:paraId="2A19B0A9" w14:textId="77777777">
        <w:tc>
          <w:tcPr>
            <w:tcW w:w="3945" w:type="dxa"/>
            <w:shd w:val="clear" w:color="auto" w:fill="auto"/>
            <w:tcMar>
              <w:top w:w="100" w:type="dxa"/>
              <w:left w:w="100" w:type="dxa"/>
              <w:bottom w:w="100" w:type="dxa"/>
              <w:right w:w="100" w:type="dxa"/>
            </w:tcMar>
          </w:tcPr>
          <w:p w14:paraId="46B24CC7" w14:textId="77777777" w:rsidR="005E771C" w:rsidRDefault="003518DE">
            <w:pPr>
              <w:shd w:val="clear" w:color="auto" w:fill="FFFFFF"/>
              <w:spacing w:after="240"/>
              <w:ind w:right="-720"/>
              <w:rPr>
                <w:color w:val="333333"/>
              </w:rPr>
            </w:pPr>
            <w:r>
              <w:rPr>
                <w:color w:val="333333"/>
              </w:rPr>
              <w:t>Name and place of business</w:t>
            </w:r>
          </w:p>
        </w:tc>
        <w:tc>
          <w:tcPr>
            <w:tcW w:w="6660" w:type="dxa"/>
            <w:shd w:val="clear" w:color="auto" w:fill="auto"/>
            <w:tcMar>
              <w:top w:w="100" w:type="dxa"/>
              <w:left w:w="100" w:type="dxa"/>
              <w:bottom w:w="100" w:type="dxa"/>
              <w:right w:w="100" w:type="dxa"/>
            </w:tcMar>
          </w:tcPr>
          <w:p w14:paraId="41385B77" w14:textId="77777777" w:rsidR="005E771C" w:rsidRDefault="003518DE">
            <w:pPr>
              <w:shd w:val="clear" w:color="auto" w:fill="FFFFFF"/>
              <w:ind w:left="90" w:right="60"/>
              <w:rPr>
                <w:color w:val="333333"/>
              </w:rPr>
            </w:pPr>
            <w:r>
              <w:rPr>
                <w:color w:val="333333"/>
              </w:rPr>
              <w:t>The street address, city, state, and ZIP code of the manufacturer, packer, or distributor.</w:t>
            </w:r>
          </w:p>
        </w:tc>
      </w:tr>
      <w:tr w:rsidR="005E771C" w14:paraId="339B226B" w14:textId="77777777">
        <w:tc>
          <w:tcPr>
            <w:tcW w:w="3945" w:type="dxa"/>
            <w:shd w:val="clear" w:color="auto" w:fill="auto"/>
            <w:tcMar>
              <w:top w:w="100" w:type="dxa"/>
              <w:left w:w="100" w:type="dxa"/>
              <w:bottom w:w="100" w:type="dxa"/>
              <w:right w:w="100" w:type="dxa"/>
            </w:tcMar>
          </w:tcPr>
          <w:p w14:paraId="369B015C" w14:textId="77777777" w:rsidR="005E771C" w:rsidRDefault="003518DE">
            <w:pPr>
              <w:ind w:right="-720"/>
              <w:rPr>
                <w:color w:val="333333"/>
              </w:rPr>
            </w:pPr>
            <w:r>
              <w:rPr>
                <w:color w:val="333333"/>
              </w:rPr>
              <w:t>Distributor statement</w:t>
            </w:r>
          </w:p>
        </w:tc>
        <w:tc>
          <w:tcPr>
            <w:tcW w:w="6660" w:type="dxa"/>
            <w:shd w:val="clear" w:color="auto" w:fill="auto"/>
            <w:tcMar>
              <w:top w:w="100" w:type="dxa"/>
              <w:left w:w="100" w:type="dxa"/>
              <w:bottom w:w="100" w:type="dxa"/>
              <w:right w:w="100" w:type="dxa"/>
            </w:tcMar>
          </w:tcPr>
          <w:p w14:paraId="73900893" w14:textId="77777777" w:rsidR="005E771C" w:rsidRDefault="003518DE">
            <w:pPr>
              <w:shd w:val="clear" w:color="auto" w:fill="FFFFFF"/>
              <w:ind w:left="90" w:right="60"/>
              <w:rPr>
                <w:color w:val="333333"/>
              </w:rPr>
            </w:pPr>
            <w:r>
              <w:rPr>
                <w:color w:val="333333"/>
              </w:rPr>
              <w:t xml:space="preserve">If the name and address are not those of the manufacturer, </w:t>
            </w:r>
          </w:p>
          <w:p w14:paraId="77A5EDA7" w14:textId="77777777" w:rsidR="005E771C" w:rsidRDefault="003518DE">
            <w:pPr>
              <w:shd w:val="clear" w:color="auto" w:fill="FFFFFF"/>
              <w:ind w:left="90" w:right="60"/>
              <w:rPr>
                <w:color w:val="333333"/>
              </w:rPr>
            </w:pPr>
            <w:r>
              <w:rPr>
                <w:color w:val="333333"/>
              </w:rPr>
              <w:t>the label must say "Manufactured for..." or "Distributed by...," or similar wording expressing the facts.</w:t>
            </w:r>
          </w:p>
        </w:tc>
      </w:tr>
      <w:tr w:rsidR="005E771C" w14:paraId="205123BE" w14:textId="77777777">
        <w:tc>
          <w:tcPr>
            <w:tcW w:w="3945" w:type="dxa"/>
            <w:shd w:val="clear" w:color="auto" w:fill="auto"/>
            <w:tcMar>
              <w:top w:w="100" w:type="dxa"/>
              <w:left w:w="100" w:type="dxa"/>
              <w:bottom w:w="100" w:type="dxa"/>
              <w:right w:w="100" w:type="dxa"/>
            </w:tcMar>
          </w:tcPr>
          <w:p w14:paraId="61843B5C" w14:textId="77777777" w:rsidR="005E771C" w:rsidRDefault="003518DE">
            <w:pPr>
              <w:shd w:val="clear" w:color="auto" w:fill="FFFFFF"/>
              <w:spacing w:after="240"/>
              <w:ind w:right="-720"/>
              <w:rPr>
                <w:color w:val="333333"/>
              </w:rPr>
            </w:pPr>
            <w:r>
              <w:rPr>
                <w:color w:val="333333"/>
              </w:rPr>
              <w:t>Material facts</w:t>
            </w:r>
          </w:p>
        </w:tc>
        <w:tc>
          <w:tcPr>
            <w:tcW w:w="6660" w:type="dxa"/>
            <w:shd w:val="clear" w:color="auto" w:fill="auto"/>
            <w:tcMar>
              <w:top w:w="100" w:type="dxa"/>
              <w:left w:w="100" w:type="dxa"/>
              <w:bottom w:w="100" w:type="dxa"/>
              <w:right w:w="100" w:type="dxa"/>
            </w:tcMar>
          </w:tcPr>
          <w:p w14:paraId="28E6261E" w14:textId="77777777" w:rsidR="005E771C" w:rsidRDefault="003518DE">
            <w:pPr>
              <w:shd w:val="clear" w:color="auto" w:fill="FFFFFF"/>
              <w:ind w:left="90" w:right="60"/>
              <w:rPr>
                <w:color w:val="333333"/>
              </w:rPr>
            </w:pPr>
            <w:r>
              <w:rPr>
                <w:color w:val="333333"/>
              </w:rPr>
              <w:t xml:space="preserve">Failure to reveal material facts is one form of misleading labeling and therefore makes a product misbranded. </w:t>
            </w:r>
          </w:p>
        </w:tc>
      </w:tr>
      <w:tr w:rsidR="005E771C" w14:paraId="23E11D2F" w14:textId="77777777">
        <w:tc>
          <w:tcPr>
            <w:tcW w:w="3945" w:type="dxa"/>
            <w:shd w:val="clear" w:color="auto" w:fill="auto"/>
            <w:tcMar>
              <w:top w:w="100" w:type="dxa"/>
              <w:left w:w="100" w:type="dxa"/>
              <w:bottom w:w="100" w:type="dxa"/>
              <w:right w:w="100" w:type="dxa"/>
            </w:tcMar>
          </w:tcPr>
          <w:p w14:paraId="63D4F781" w14:textId="77777777" w:rsidR="005E771C" w:rsidRDefault="003518DE">
            <w:pPr>
              <w:shd w:val="clear" w:color="auto" w:fill="FFFFFF"/>
              <w:ind w:left="-90" w:right="-315"/>
              <w:rPr>
                <w:color w:val="333333"/>
              </w:rPr>
            </w:pPr>
            <w:r>
              <w:rPr>
                <w:b/>
                <w:color w:val="333333"/>
              </w:rPr>
              <w:t xml:space="preserve"> </w:t>
            </w:r>
            <w:r>
              <w:rPr>
                <w:color w:val="333333"/>
              </w:rPr>
              <w:t>Warning and caution s</w:t>
            </w:r>
            <w:r>
              <w:rPr>
                <w:color w:val="333333"/>
              </w:rPr>
              <w:t>tatements</w:t>
            </w:r>
          </w:p>
        </w:tc>
        <w:tc>
          <w:tcPr>
            <w:tcW w:w="6660" w:type="dxa"/>
            <w:shd w:val="clear" w:color="auto" w:fill="auto"/>
            <w:tcMar>
              <w:top w:w="100" w:type="dxa"/>
              <w:left w:w="100" w:type="dxa"/>
              <w:bottom w:w="100" w:type="dxa"/>
              <w:right w:w="100" w:type="dxa"/>
            </w:tcMar>
          </w:tcPr>
          <w:p w14:paraId="7C27F4A3" w14:textId="77777777" w:rsidR="005E771C" w:rsidRDefault="003518DE">
            <w:pPr>
              <w:shd w:val="clear" w:color="auto" w:fill="FFFFFF"/>
              <w:ind w:left="90" w:right="60"/>
              <w:rPr>
                <w:color w:val="333333"/>
              </w:rPr>
            </w:pPr>
            <w:r>
              <w:rPr>
                <w:color w:val="333333"/>
              </w:rPr>
              <w:t xml:space="preserve">The FD&amp;C Act and related regulations specify warning and caution statements related to specific products. </w:t>
            </w:r>
            <w:r>
              <w:rPr>
                <w:color w:val="333333"/>
              </w:rPr>
              <w:lastRenderedPageBreak/>
              <w:t xml:space="preserve">Cosmetics that may be hazardous to consumers must bear appropriate label warnings. </w:t>
            </w:r>
          </w:p>
        </w:tc>
      </w:tr>
      <w:tr w:rsidR="005E771C" w14:paraId="442C5A86" w14:textId="77777777">
        <w:tc>
          <w:tcPr>
            <w:tcW w:w="3945" w:type="dxa"/>
            <w:shd w:val="clear" w:color="auto" w:fill="auto"/>
            <w:tcMar>
              <w:top w:w="100" w:type="dxa"/>
              <w:left w:w="100" w:type="dxa"/>
              <w:bottom w:w="100" w:type="dxa"/>
              <w:right w:w="100" w:type="dxa"/>
            </w:tcMar>
          </w:tcPr>
          <w:p w14:paraId="0E29533E" w14:textId="77777777" w:rsidR="005E771C" w:rsidRDefault="003518DE">
            <w:pPr>
              <w:shd w:val="clear" w:color="auto" w:fill="FFFFFF"/>
              <w:spacing w:after="240"/>
              <w:ind w:right="-720"/>
              <w:rPr>
                <w:color w:val="333333"/>
              </w:rPr>
            </w:pPr>
            <w:r>
              <w:rPr>
                <w:color w:val="333333"/>
              </w:rPr>
              <w:t>Ingredients</w:t>
            </w:r>
          </w:p>
        </w:tc>
        <w:tc>
          <w:tcPr>
            <w:tcW w:w="6660" w:type="dxa"/>
            <w:shd w:val="clear" w:color="auto" w:fill="auto"/>
            <w:tcMar>
              <w:top w:w="100" w:type="dxa"/>
              <w:left w:w="100" w:type="dxa"/>
              <w:bottom w:w="100" w:type="dxa"/>
              <w:right w:w="100" w:type="dxa"/>
            </w:tcMar>
          </w:tcPr>
          <w:p w14:paraId="626B29B8" w14:textId="77777777" w:rsidR="005E771C" w:rsidRDefault="003518DE">
            <w:pPr>
              <w:shd w:val="clear" w:color="auto" w:fill="FFFFFF"/>
              <w:ind w:left="90" w:right="240"/>
              <w:rPr>
                <w:color w:val="333333"/>
              </w:rPr>
            </w:pPr>
            <w:r>
              <w:rPr>
                <w:color w:val="333333"/>
              </w:rPr>
              <w:t>If the product is sold on a retail basis to consumers</w:t>
            </w:r>
            <w:r>
              <w:rPr>
                <w:color w:val="333333"/>
              </w:rPr>
              <w:t>, even if it is labeled "For professional use only" or words to that effect, the ingredients must appear on an information panel, in descending order of predominance. Remember, if the product is also a drug, its labeling must comply with the regulations fo</w:t>
            </w:r>
            <w:r>
              <w:rPr>
                <w:color w:val="333333"/>
              </w:rPr>
              <w:t>r both OTC drug and cosmetic ingredient labeling, as stated above., see "</w:t>
            </w:r>
            <w:hyperlink r:id="rId16">
              <w:r>
                <w:rPr>
                  <w:color w:val="001871"/>
                </w:rPr>
                <w:t>Ingredient Names</w:t>
              </w:r>
            </w:hyperlink>
            <w:r>
              <w:rPr>
                <w:color w:val="333333"/>
              </w:rPr>
              <w:t>," "</w:t>
            </w:r>
            <w:hyperlink r:id="rId17">
              <w:r>
                <w:rPr>
                  <w:color w:val="001871"/>
                </w:rPr>
                <w:t>Color Additives</w:t>
              </w:r>
              <w:r>
                <w:rPr>
                  <w:color w:val="001871"/>
                </w:rPr>
                <w:t xml:space="preserve"> and Cosmetics</w:t>
              </w:r>
            </w:hyperlink>
            <w:r>
              <w:rPr>
                <w:color w:val="333333"/>
              </w:rPr>
              <w:t>," "</w:t>
            </w:r>
            <w:hyperlink r:id="rId18">
              <w:r>
                <w:rPr>
                  <w:color w:val="001871"/>
                </w:rPr>
                <w:t>Fragrances in Cosmetics</w:t>
              </w:r>
            </w:hyperlink>
            <w:r>
              <w:rPr>
                <w:color w:val="333333"/>
              </w:rPr>
              <w:t>," and "</w:t>
            </w:r>
            <w:hyperlink r:id="rId19">
              <w:r>
                <w:rPr>
                  <w:color w:val="001871"/>
                </w:rPr>
                <w:t>'Trade Secret' Ingredients</w:t>
              </w:r>
            </w:hyperlink>
            <w:r>
              <w:rPr>
                <w:color w:val="333333"/>
              </w:rPr>
              <w:t>.</w:t>
            </w:r>
          </w:p>
        </w:tc>
      </w:tr>
    </w:tbl>
    <w:p w14:paraId="7499A8FC" w14:textId="77777777" w:rsidR="005E771C" w:rsidRDefault="005E771C">
      <w:pPr>
        <w:shd w:val="clear" w:color="auto" w:fill="FFFFFF"/>
        <w:ind w:left="-720" w:right="-720"/>
        <w:rPr>
          <w:color w:val="333333"/>
        </w:rPr>
      </w:pPr>
    </w:p>
    <w:p w14:paraId="45F4B160" w14:textId="77777777" w:rsidR="005E771C" w:rsidRDefault="005E771C">
      <w:pPr>
        <w:pStyle w:val="Heading1"/>
        <w:shd w:val="clear" w:color="auto" w:fill="FFFFFF"/>
        <w:spacing w:line="360" w:lineRule="auto"/>
        <w:ind w:left="-720" w:right="-720"/>
        <w:rPr>
          <w:color w:val="333333"/>
          <w:sz w:val="28"/>
          <w:szCs w:val="28"/>
        </w:rPr>
      </w:pPr>
      <w:bookmarkStart w:id="7" w:name="_r7vlik4sepvh" w:colFirst="0" w:colLast="0"/>
      <w:bookmarkEnd w:id="7"/>
    </w:p>
    <w:p w14:paraId="57458405" w14:textId="77777777" w:rsidR="005E771C" w:rsidRDefault="003518DE">
      <w:pPr>
        <w:pStyle w:val="Heading1"/>
        <w:shd w:val="clear" w:color="auto" w:fill="FFFFFF"/>
        <w:spacing w:line="360" w:lineRule="auto"/>
        <w:ind w:left="-720" w:right="-720"/>
        <w:rPr>
          <w:color w:val="333333"/>
          <w:sz w:val="28"/>
          <w:szCs w:val="28"/>
        </w:rPr>
      </w:pPr>
      <w:bookmarkStart w:id="8" w:name="_ocrk13bjwteh" w:colFirst="0" w:colLast="0"/>
      <w:bookmarkEnd w:id="8"/>
      <w:r>
        <w:rPr>
          <w:color w:val="333333"/>
          <w:sz w:val="28"/>
          <w:szCs w:val="28"/>
        </w:rPr>
        <w:t>References</w:t>
      </w:r>
    </w:p>
    <w:p w14:paraId="20E68CFC" w14:textId="77777777" w:rsidR="005E771C" w:rsidRDefault="003518DE">
      <w:pPr>
        <w:shd w:val="clear" w:color="auto" w:fill="FFFFFF"/>
        <w:ind w:left="-720" w:right="-720"/>
        <w:rPr>
          <w:color w:val="333333"/>
        </w:rPr>
      </w:pPr>
      <w:r>
        <w:rPr>
          <w:i/>
          <w:color w:val="333333"/>
        </w:rPr>
        <w:t>CIR Findings | Cosmetic Ingredient Review</w:t>
      </w:r>
      <w:r>
        <w:rPr>
          <w:color w:val="333333"/>
        </w:rPr>
        <w:t>. (n.d.). Retrieved April 21, 2020, from</w:t>
      </w:r>
      <w:hyperlink r:id="rId20">
        <w:r>
          <w:rPr>
            <w:color w:val="1155CC"/>
            <w:u w:val="single"/>
          </w:rPr>
          <w:t xml:space="preserve"> https://www.cir-safety.org/cir-findings</w:t>
        </w:r>
      </w:hyperlink>
    </w:p>
    <w:p w14:paraId="47BB58DE" w14:textId="77777777" w:rsidR="005E771C" w:rsidRDefault="005E771C">
      <w:pPr>
        <w:shd w:val="clear" w:color="auto" w:fill="FFFFFF"/>
        <w:ind w:left="-720" w:right="-720"/>
        <w:rPr>
          <w:color w:val="333333"/>
        </w:rPr>
      </w:pPr>
    </w:p>
    <w:p w14:paraId="794D14C3" w14:textId="77777777" w:rsidR="005E771C" w:rsidRDefault="003518DE">
      <w:pPr>
        <w:shd w:val="clear" w:color="auto" w:fill="FFFFFF"/>
        <w:ind w:left="-720" w:right="-720"/>
        <w:rPr>
          <w:color w:val="333333"/>
        </w:rPr>
      </w:pPr>
      <w:r>
        <w:rPr>
          <w:color w:val="333333"/>
        </w:rPr>
        <w:t>Nutrition, C. for F. S. and A. (2020, March 19). Cosmetics. FDA</w:t>
      </w:r>
      <w:r>
        <w:rPr>
          <w:color w:val="333333"/>
        </w:rPr>
        <w:t>; FDA.</w:t>
      </w:r>
      <w:hyperlink r:id="rId21">
        <w:r>
          <w:rPr>
            <w:color w:val="1155CC"/>
            <w:u w:val="single"/>
          </w:rPr>
          <w:t xml:space="preserve"> https://www.fda.gov/cosmetics</w:t>
        </w:r>
      </w:hyperlink>
      <w:r>
        <w:rPr>
          <w:color w:val="333333"/>
        </w:rPr>
        <w:br/>
      </w:r>
      <w:r>
        <w:rPr>
          <w:color w:val="333333"/>
        </w:rPr>
        <w:br/>
        <w:t xml:space="preserve">Nutrition, C. for F. S. and A. (2020). Cosmetics Labeling Guide. </w:t>
      </w:r>
      <w:r>
        <w:rPr>
          <w:i/>
          <w:color w:val="333333"/>
        </w:rPr>
        <w:t>FDA</w:t>
      </w:r>
      <w:r>
        <w:rPr>
          <w:color w:val="333333"/>
        </w:rPr>
        <w:t xml:space="preserve">. </w:t>
      </w:r>
      <w:hyperlink r:id="rId22">
        <w:r>
          <w:rPr>
            <w:color w:val="1155CC"/>
            <w:u w:val="single"/>
          </w:rPr>
          <w:t>https://www.fda.gov/cosmetics/cosmetics-labeling-regulations/cosmetics-labeling-guide</w:t>
        </w:r>
      </w:hyperlink>
    </w:p>
    <w:p w14:paraId="1D226E0F" w14:textId="77777777" w:rsidR="005E771C" w:rsidRDefault="005E771C">
      <w:pPr>
        <w:shd w:val="clear" w:color="auto" w:fill="FFFFFF"/>
        <w:ind w:left="-720" w:right="-720"/>
        <w:rPr>
          <w:color w:val="333333"/>
        </w:rPr>
      </w:pPr>
    </w:p>
    <w:p w14:paraId="4CE4FA9C" w14:textId="77777777" w:rsidR="005E771C" w:rsidRDefault="003518DE">
      <w:pPr>
        <w:shd w:val="clear" w:color="auto" w:fill="FFFFFF"/>
        <w:spacing w:after="240"/>
        <w:ind w:left="-720" w:right="-720"/>
        <w:rPr>
          <w:color w:val="1155CC"/>
          <w:u w:val="single"/>
        </w:rPr>
      </w:pPr>
      <w:r>
        <w:rPr>
          <w:color w:val="333333"/>
        </w:rPr>
        <w:t xml:space="preserve">Nutrition, C. for F. S. and A. (2020). Is It a Cosmetic, a Drug, or Both? (Or Is It Soap?). </w:t>
      </w:r>
      <w:r>
        <w:rPr>
          <w:i/>
          <w:color w:val="333333"/>
        </w:rPr>
        <w:t>FDA</w:t>
      </w:r>
      <w:r>
        <w:rPr>
          <w:color w:val="333333"/>
        </w:rPr>
        <w:t>.</w:t>
      </w:r>
      <w:hyperlink r:id="rId23">
        <w:r>
          <w:rPr>
            <w:color w:val="1155CC"/>
            <w:u w:val="single"/>
          </w:rPr>
          <w:t xml:space="preserve"> https://www.fda.gov/cosmetics/cosmetics-laws-regulations/it-cosmetic-drug-or-both-or-it-soap</w:t>
        </w:r>
      </w:hyperlink>
      <w:r>
        <w:rPr>
          <w:i/>
          <w:color w:val="333333"/>
        </w:rPr>
        <w:br/>
      </w:r>
      <w:r>
        <w:rPr>
          <w:i/>
          <w:color w:val="333333"/>
        </w:rPr>
        <w:br/>
        <w:t>Voluntary Cosmetic Registration Program | FDA</w:t>
      </w:r>
      <w:r>
        <w:rPr>
          <w:color w:val="333333"/>
        </w:rPr>
        <w:t>. (n.d.). Retrieved April 21, 2020, from</w:t>
      </w:r>
      <w:hyperlink r:id="rId24">
        <w:r>
          <w:rPr>
            <w:color w:val="1155CC"/>
            <w:u w:val="single"/>
          </w:rPr>
          <w:t xml:space="preserve"> https://www.fda.gov/cosmetics/voluntary-cosmetic-registration-program</w:t>
        </w:r>
      </w:hyperlink>
    </w:p>
    <w:p w14:paraId="076EFF41" w14:textId="77777777" w:rsidR="005E771C" w:rsidRDefault="005E771C">
      <w:pPr>
        <w:shd w:val="clear" w:color="auto" w:fill="FFFFFF"/>
        <w:ind w:left="-720" w:right="-720"/>
        <w:rPr>
          <w:b/>
          <w:color w:val="333333"/>
        </w:rPr>
      </w:pPr>
    </w:p>
    <w:p w14:paraId="48430627" w14:textId="77777777" w:rsidR="005E771C" w:rsidRDefault="005E771C">
      <w:pPr>
        <w:shd w:val="clear" w:color="auto" w:fill="FFFFFF"/>
        <w:ind w:left="-720" w:right="-720"/>
        <w:rPr>
          <w:rFonts w:ascii="EB Garamond" w:eastAsia="EB Garamond" w:hAnsi="EB Garamond" w:cs="EB Garamond"/>
          <w:color w:val="333333"/>
        </w:rPr>
      </w:pPr>
    </w:p>
    <w:p w14:paraId="4E4FE015" w14:textId="77777777" w:rsidR="005E771C" w:rsidRDefault="005E771C"/>
    <w:sectPr w:rsidR="005E771C" w:rsidSect="00BD3F15">
      <w:footerReference w:type="even" r:id="rId25"/>
      <w:footerReference w:type="defaul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80AE2" w14:textId="77777777" w:rsidR="003518DE" w:rsidRDefault="003518DE" w:rsidP="00BD3F15">
      <w:pPr>
        <w:spacing w:line="240" w:lineRule="auto"/>
      </w:pPr>
      <w:r>
        <w:separator/>
      </w:r>
    </w:p>
  </w:endnote>
  <w:endnote w:type="continuationSeparator" w:id="0">
    <w:p w14:paraId="3C0ED231" w14:textId="77777777" w:rsidR="003518DE" w:rsidRDefault="003518DE" w:rsidP="00BD3F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uni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EB Garamon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6605403"/>
      <w:docPartObj>
        <w:docPartGallery w:val="Page Numbers (Bottom of Page)"/>
        <w:docPartUnique/>
      </w:docPartObj>
    </w:sdtPr>
    <w:sdtContent>
      <w:p w14:paraId="0F63DB23" w14:textId="4CD1CF86" w:rsidR="00BD3F15" w:rsidRDefault="00BD3F15" w:rsidP="00ED35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B0B02F" w14:textId="77777777" w:rsidR="00BD3F15" w:rsidRDefault="00BD3F15" w:rsidP="00BD3F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031703"/>
      <w:docPartObj>
        <w:docPartGallery w:val="Page Numbers (Bottom of Page)"/>
        <w:docPartUnique/>
      </w:docPartObj>
    </w:sdtPr>
    <w:sdtContent>
      <w:p w14:paraId="5B9BE6F2" w14:textId="407EE68C" w:rsidR="00BD3F15" w:rsidRDefault="00BD3F15" w:rsidP="00ED35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94415A" w14:textId="77777777" w:rsidR="00BD3F15" w:rsidRDefault="00BD3F15" w:rsidP="00BD3F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5E3B5" w14:textId="77777777" w:rsidR="003518DE" w:rsidRDefault="003518DE" w:rsidP="00BD3F15">
      <w:pPr>
        <w:spacing w:line="240" w:lineRule="auto"/>
      </w:pPr>
      <w:r>
        <w:separator/>
      </w:r>
    </w:p>
  </w:footnote>
  <w:footnote w:type="continuationSeparator" w:id="0">
    <w:p w14:paraId="423B5FA7" w14:textId="77777777" w:rsidR="003518DE" w:rsidRDefault="003518DE" w:rsidP="00BD3F1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71C"/>
    <w:rsid w:val="0005725F"/>
    <w:rsid w:val="003518DE"/>
    <w:rsid w:val="005E771C"/>
    <w:rsid w:val="00BA3F45"/>
    <w:rsid w:val="00BD3F15"/>
    <w:rsid w:val="00C1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D5B3"/>
  <w15:docId w15:val="{FEB0FBD0-F6A2-7843-9872-0899FD6E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unito" w:eastAsia="Nunito" w:hAnsi="Nunito" w:cs="Nunito"/>
        <w:sz w:val="24"/>
        <w:szCs w:val="24"/>
        <w:highlight w:val="white"/>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BD3F15"/>
    <w:pPr>
      <w:tabs>
        <w:tab w:val="center" w:pos="4680"/>
        <w:tab w:val="right" w:pos="9360"/>
      </w:tabs>
      <w:spacing w:line="240" w:lineRule="auto"/>
    </w:pPr>
  </w:style>
  <w:style w:type="character" w:customStyle="1" w:styleId="FooterChar">
    <w:name w:val="Footer Char"/>
    <w:basedOn w:val="DefaultParagraphFont"/>
    <w:link w:val="Footer"/>
    <w:uiPriority w:val="99"/>
    <w:rsid w:val="00BD3F15"/>
  </w:style>
  <w:style w:type="character" w:styleId="PageNumber">
    <w:name w:val="page number"/>
    <w:basedOn w:val="DefaultParagraphFont"/>
    <w:uiPriority w:val="99"/>
    <w:semiHidden/>
    <w:unhideWhenUsed/>
    <w:rsid w:val="00BD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ir-safety.org/" TargetMode="External"/><Relationship Id="rId13" Type="http://schemas.openxmlformats.org/officeDocument/2006/relationships/hyperlink" Target="https://www.cir-safety.org/supplementaldoc/i-122017revised072018" TargetMode="External"/><Relationship Id="rId18" Type="http://schemas.openxmlformats.org/officeDocument/2006/relationships/hyperlink" Target="https://www.fda.gov/cosmetics/ingredients/fragrances-cosmetics"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www.fda.gov/cosmetics" TargetMode="External"/><Relationship Id="rId7" Type="http://schemas.openxmlformats.org/officeDocument/2006/relationships/hyperlink" Target="https://www.cir-safety.org/" TargetMode="External"/><Relationship Id="rId12" Type="http://schemas.openxmlformats.org/officeDocument/2006/relationships/hyperlink" Target="https://www.cir-safety.org/supplementaldoc/z122017revised072018" TargetMode="External"/><Relationship Id="rId17" Type="http://schemas.openxmlformats.org/officeDocument/2006/relationships/hyperlink" Target="https://www.fda.gov/industry/cosmetics/color-additives-and-cosmetics"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fda.gov/labeling-regulations" TargetMode="External"/><Relationship Id="rId20" Type="http://schemas.openxmlformats.org/officeDocument/2006/relationships/hyperlink" Target="https://www.cir-safety.org/cir-findings" TargetMode="External"/><Relationship Id="rId1" Type="http://schemas.openxmlformats.org/officeDocument/2006/relationships/styles" Target="styles.xml"/><Relationship Id="rId6" Type="http://schemas.openxmlformats.org/officeDocument/2006/relationships/hyperlink" Target="https://www.fda.gov/cosmetics/voluntary-cosmetic-registration-program" TargetMode="External"/><Relationship Id="rId11" Type="http://schemas.openxmlformats.org/officeDocument/2006/relationships/hyperlink" Target="https://www.cir-safety.org/supplementaldoc/sq-122017revised072018" TargetMode="External"/><Relationship Id="rId24" Type="http://schemas.openxmlformats.org/officeDocument/2006/relationships/hyperlink" Target="https://www.fda.gov/cosmetics/voluntary-cosmetic-registration-program" TargetMode="External"/><Relationship Id="rId5" Type="http://schemas.openxmlformats.org/officeDocument/2006/relationships/endnotes" Target="endnotes.xml"/><Relationship Id="rId15" Type="http://schemas.openxmlformats.org/officeDocument/2006/relationships/hyperlink" Target="https://www.cir-safety.org/supplementaldoc/u-122017revised072018" TargetMode="External"/><Relationship Id="rId23" Type="http://schemas.openxmlformats.org/officeDocument/2006/relationships/hyperlink" Target="https://www.fda.gov/cosmetics/cosmetics-laws-regulations/it-cosmetic-drug-or-both-or-it-soap" TargetMode="External"/><Relationship Id="rId28" Type="http://schemas.openxmlformats.org/officeDocument/2006/relationships/theme" Target="theme/theme1.xml"/><Relationship Id="rId10" Type="http://schemas.openxmlformats.org/officeDocument/2006/relationships/hyperlink" Target="https://www.cir-safety.org/supplementaldoc/s-122017revised072018" TargetMode="External"/><Relationship Id="rId19" Type="http://schemas.openxmlformats.org/officeDocument/2006/relationships/hyperlink" Target="https://www.fda.gov/cosmetics/labeling/trade-secret-ingredients" TargetMode="External"/><Relationship Id="rId4" Type="http://schemas.openxmlformats.org/officeDocument/2006/relationships/footnotes" Target="footnotes.xml"/><Relationship Id="rId9" Type="http://schemas.openxmlformats.org/officeDocument/2006/relationships/hyperlink" Target="https://www.cir-safety.org/cir-findings" TargetMode="External"/><Relationship Id="rId14" Type="http://schemas.openxmlformats.org/officeDocument/2006/relationships/hyperlink" Target="http://www.cir-safety.org/supplementaldoc/prohibited/restricted-fda" TargetMode="External"/><Relationship Id="rId22" Type="http://schemas.openxmlformats.org/officeDocument/2006/relationships/hyperlink" Target="https://www.fda.gov/cosmetics/cosmetics-labeling-regulations/cosmetics-labeling-gui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Tesia Kosmalski</cp:lastModifiedBy>
  <cp:revision>3</cp:revision>
  <cp:lastPrinted>2021-01-08T16:16:00Z</cp:lastPrinted>
  <dcterms:created xsi:type="dcterms:W3CDTF">2021-01-08T16:16:00Z</dcterms:created>
  <dcterms:modified xsi:type="dcterms:W3CDTF">2021-01-08T16:18:00Z</dcterms:modified>
</cp:coreProperties>
</file>