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Arial" w:cs="Arial" w:eastAsia="Arial" w:hAnsi="Arial"/>
          <w:color w:val="666666"/>
          <w:sz w:val="20"/>
          <w:szCs w:val="20"/>
        </w:rPr>
        <w:t xml:space="preserve">ACG-TS-001.1-2026</w:t>
      </w:r>
    </w:p>
    <w:p>
      <w:pPr>
        <w:spacing w:before="200"/>
        <w:jc w:val="center"/>
      </w:pPr>
      <w:r>
        <w:rPr>
          <w:rFonts w:ascii="Arial" w:cs="Arial" w:eastAsia="Arial" w:hAnsi="Arial"/>
          <w:b/>
          <w:bCs/>
          <w:color w:val="1B2A4A"/>
          <w:sz w:val="44"/>
          <w:szCs w:val="44"/>
        </w:rPr>
        <w:t xml:space="preserve">TECHNICAL SPECIFICATION</w:t>
      </w:r>
    </w:p>
    <w:p>
      <w:pPr>
        <w:pBdr>
          <w:bottom w:val="single" w:color="D4883A" w:sz="6" w:space="8"/>
        </w:pBdr>
        <w:spacing w:before="80"/>
        <w:jc w:val="center"/>
      </w:pPr>
      <w:r>
        <w:rPr>
          <w:rFonts w:ascii="Arial" w:cs="Arial" w:eastAsia="Arial" w:hAnsi="Arial"/>
          <w:color w:val="2E5090"/>
          <w:sz w:val="28"/>
          <w:szCs w:val="28"/>
        </w:rPr>
        <w:t xml:space="preserve">AI Craftspeople Guild</w:t>
      </w:r>
    </w:p>
    <w:p>
      <w:pPr>
        <w:spacing w:before="400"/>
        <w:jc w:val="center"/>
      </w:pPr>
      <w:r>
        <w:rPr>
          <w:rFonts w:ascii="Arial" w:cs="Arial" w:eastAsia="Arial" w:hAnsi="Arial"/>
          <w:color w:val="444444"/>
          <w:sz w:val="24"/>
          <w:szCs w:val="24"/>
        </w:rPr>
        <w:t xml:space="preserve">Verification and Conformance Requirements
for AI-Assisted Engineering Systems</w:t>
      </w:r>
    </w:p>
    <w:p>
      <w:pPr>
        <w:spacing w:before="600"/>
        <w:jc w:val="center"/>
      </w:pPr>
      <w:r>
        <w:rPr>
          <w:rFonts w:ascii="Arial" w:cs="Arial" w:eastAsia="Arial" w:hAnsi="Arial"/>
          <w:i/>
          <w:iCs/>
          <w:color w:val="888888"/>
          <w:sz w:val="22"/>
          <w:szCs w:val="22"/>
        </w:rPr>
        <w:t xml:space="preserve">Where Professional Ethics Meets Formal Methods</w:t>
      </w:r>
    </w:p>
    <w:p>
      <w:pPr>
        <w:spacing w:before="1200"/>
        <w:jc w:val="center"/>
      </w:pPr>
      <w:r>
        <w:rPr>
          <w:rFonts w:ascii="Arial" w:cs="Arial" w:eastAsia="Arial" w:hAnsi="Arial"/>
          <w:color w:val="999999"/>
          <w:sz w:val="18"/>
          <w:szCs w:val="18"/>
        </w:rPr>
        <w:t xml:space="preserve">Classification: Normative | Status: Draft for Public Comment</w:t>
      </w:r>
    </w:p>
    <w:p>
      <w:pPr>
        <w:jc w:val="center"/>
      </w:pPr>
      <w:r>
        <w:rPr>
          <w:rFonts w:ascii="Arial" w:cs="Arial" w:eastAsia="Arial" w:hAnsi="Arial"/>
          <w:color w:val="999999"/>
          <w:sz w:val="18"/>
          <w:szCs w:val="18"/>
        </w:rPr>
        <w:t xml:space="preserve">Effective Date: 2026-03-12 | Revision: 1.0</w:t>
      </w:r>
    </w:p>
    <w:p>
      <w:pPr>
        <w:spacing w:before="200"/>
        <w:jc w:val="center"/>
      </w:pPr>
      <w:r>
        <w:rPr>
          <w:rFonts w:ascii="Arial" w:cs="Arial" w:eastAsia="Arial" w:hAnsi="Arial"/>
          <w:color w:val="999999"/>
          <w:sz w:val="18"/>
          <w:szCs w:val="18"/>
        </w:rPr>
        <w:t xml:space="preserve">Prepared by: AI Craftspeople Guild Technical Committee</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Scope</w:t>
      </w:r>
    </w:p>
    <w:p>
      <w:pPr>
        <w:spacing w:after="120"/>
      </w:pPr>
      <w:r>
        <w:rPr>
          <w:rFonts w:ascii="Arial" w:cs="Arial" w:eastAsia="Arial" w:hAnsi="Arial"/>
          <w:sz w:val="22"/>
          <w:szCs w:val="22"/>
        </w:rPr>
        <w:t xml:space="preserve">This technical specification establishes formal, verifiable requirements for engineering organizations that design, develop, deploy, or operate AI-assisted systems. It translates the principles of the ACG Manifesto into normative clauses with defined conformance levels, verification methods, and measurable criteria.</w:t>
      </w:r>
    </w:p>
    <w:p>
      <w:pPr>
        <w:spacing w:after="120"/>
      </w:pPr>
      <w:r>
        <w:rPr>
          <w:rFonts w:ascii="Arial" w:cs="Arial" w:eastAsia="Arial" w:hAnsi="Arial"/>
          <w:sz w:val="22"/>
          <w:szCs w:val="22"/>
        </w:rPr>
        <w:t xml:space="preserve">This specification applies to any system where machine-learning models, large language models (LLMs), generative AI, or automated decision-making components are integrated into software products, industrial control systems, or professional services.</w:t>
      </w:r>
    </w:p>
    <w:p>
      <w:pPr>
        <w:spacing w:after="120"/>
      </w:pPr>
      <w:r>
        <w:rPr>
          <w:rFonts w:ascii="Arial" w:cs="Arial" w:eastAsia="Arial" w:hAnsi="Arial"/>
          <w:b/>
          <w:bCs/>
          <w:sz w:val="22"/>
          <w:szCs w:val="22"/>
        </w:rPr>
        <w:t xml:space="preserve">Applicability: </w:t>
      </w:r>
      <w:r>
        <w:rPr>
          <w:rFonts w:ascii="Arial" w:cs="Arial" w:eastAsia="Arial" w:hAnsi="Arial"/>
          <w:sz w:val="22"/>
          <w:szCs w:val="22"/>
        </w:rPr>
        <w:t xml:space="preserve">Organizations seeking ACG conformance SHALL implement all normative (SHALL/SHALL NOT) requirements. Advisory (SHOULD) requirements are recommended but not mandatory for conformance.</w:t>
      </w:r>
    </w:p>
    <w:p>
      <w:pPr>
        <w:pStyle w:val="Heading1"/>
      </w:pPr>
      <w:r>
        <w:rPr>
          <w:rFonts w:ascii="Arial" w:cs="Arial" w:eastAsia="Arial" w:hAnsi="Arial"/>
        </w:rPr>
        <w:t xml:space="preserve">2  Normative References</w:t>
      </w:r>
    </w:p>
    <w:p>
      <w:pPr>
        <w:spacing w:after="120"/>
      </w:pPr>
      <w:r>
        <w:rPr>
          <w:rFonts w:ascii="Arial" w:cs="Arial" w:eastAsia="Arial" w:hAnsi="Arial"/>
          <w:sz w:val="22"/>
          <w:szCs w:val="22"/>
        </w:rPr>
        <w:t xml:space="preserve">The following documents are referenced in whole or in part and are indispensable for the application of this specification:</w:t>
      </w:r>
    </w:p>
    <w:p>
      <w:pPr>
        <w:pStyle w:val="ListParagraph"/>
        <w:numPr>
          <w:ilvl w:val="0"/>
          <w:numId w:val="2"/>
        </w:numPr>
        <w:spacing w:after="60"/>
      </w:pPr>
      <w:r>
        <w:rPr>
          <w:rFonts w:ascii="Arial" w:cs="Arial" w:eastAsia="Arial" w:hAnsi="Arial"/>
          <w:sz w:val="22"/>
          <w:szCs w:val="22"/>
        </w:rPr>
        <w:t xml:space="preserve">ACG Manifesto, Rev. 1.0 (2026) — Foundational principles</w:t>
      </w:r>
    </w:p>
    <w:p>
      <w:pPr>
        <w:pStyle w:val="ListParagraph"/>
        <w:numPr>
          <w:ilvl w:val="0"/>
          <w:numId w:val="2"/>
        </w:numPr>
        <w:spacing w:after="60"/>
      </w:pPr>
      <w:r>
        <w:rPr>
          <w:rFonts w:ascii="Arial" w:cs="Arial" w:eastAsia="Arial" w:hAnsi="Arial"/>
          <w:sz w:val="22"/>
          <w:szCs w:val="22"/>
        </w:rPr>
        <w:t xml:space="preserve">ISA/IEC 62443 series — Cybersecurity for IACS</w:t>
      </w:r>
    </w:p>
    <w:p>
      <w:pPr>
        <w:pStyle w:val="ListParagraph"/>
        <w:numPr>
          <w:ilvl w:val="0"/>
          <w:numId w:val="2"/>
        </w:numPr>
        <w:spacing w:after="60"/>
      </w:pPr>
      <w:r>
        <w:rPr>
          <w:rFonts w:ascii="Arial" w:cs="Arial" w:eastAsia="Arial" w:hAnsi="Arial"/>
          <w:sz w:val="22"/>
          <w:szCs w:val="22"/>
        </w:rPr>
        <w:t xml:space="preserve">ISA-84 / IEC 61511 — Functional safety (SIL verification)</w:t>
      </w:r>
    </w:p>
    <w:p>
      <w:pPr>
        <w:pStyle w:val="ListParagraph"/>
        <w:numPr>
          <w:ilvl w:val="0"/>
          <w:numId w:val="2"/>
        </w:numPr>
        <w:spacing w:after="60"/>
      </w:pPr>
      <w:r>
        <w:rPr>
          <w:rFonts w:ascii="Arial" w:cs="Arial" w:eastAsia="Arial" w:hAnsi="Arial"/>
          <w:sz w:val="22"/>
          <w:szCs w:val="22"/>
        </w:rPr>
        <w:t xml:space="preserve">IEEE 7000-2021 — Ethical design of autonomous systems</w:t>
      </w:r>
    </w:p>
    <w:p>
      <w:pPr>
        <w:pStyle w:val="ListParagraph"/>
        <w:numPr>
          <w:ilvl w:val="0"/>
          <w:numId w:val="2"/>
        </w:numPr>
        <w:spacing w:after="60"/>
      </w:pPr>
      <w:r>
        <w:rPr>
          <w:rFonts w:ascii="Arial" w:cs="Arial" w:eastAsia="Arial" w:hAnsi="Arial"/>
          <w:sz w:val="22"/>
          <w:szCs w:val="22"/>
        </w:rPr>
        <w:t xml:space="preserve">ISO/IEC 42001 — AI management systems</w:t>
      </w:r>
    </w:p>
    <w:p>
      <w:pPr>
        <w:pStyle w:val="ListParagraph"/>
        <w:numPr>
          <w:ilvl w:val="0"/>
          <w:numId w:val="2"/>
        </w:numPr>
        <w:spacing w:after="120"/>
      </w:pPr>
      <w:r>
        <w:rPr>
          <w:rFonts w:ascii="Arial" w:cs="Arial" w:eastAsia="Arial" w:hAnsi="Arial"/>
          <w:sz w:val="22"/>
          <w:szCs w:val="22"/>
        </w:rPr>
        <w:t xml:space="preserve">NIST AI RMF 1.0 — Risk management framework</w:t>
      </w:r>
    </w:p>
    <w:p>
      <w:pPr>
        <w:pStyle w:val="Heading1"/>
      </w:pPr>
      <w:r>
        <w:rPr>
          <w:rFonts w:ascii="Arial" w:cs="Arial" w:eastAsia="Arial" w:hAnsi="Arial"/>
        </w:rPr>
        <w:t xml:space="preserve">3  Terms and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Term</w:t>
            </w:r>
          </w:p>
        </w:tc>
        <w:tc>
          <w:tcPr>
            <w:tcW w:type="dxa" w:w="696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2400"/>
            <w:tcBorders>
              <w:top w:val="single" w:color="999999" w:sz="1"/>
              <w:left w:val="single" w:color="999999" w:sz="1"/>
              <w:bottom w:val="single" w:color="999999" w:sz="1"/>
              <w:right w:val="single" w:color="999999" w:sz="1"/>
            </w:tcBorders>
            <w:shd w:fill="F0F3F7" w:val="clear"/>
            <w:tcMar>
              <w:top w:type="dxa" w:w="80"/>
              <w:left w:type="dxa" w:w="120"/>
              <w:bottom w:type="dxa" w:w="80"/>
              <w:right w:type="dxa" w:w="120"/>
            </w:tcMar>
          </w:tcPr>
          <w:p>
            <w:r>
              <w:rPr>
                <w:rFonts w:ascii="Arial" w:cs="Arial" w:eastAsia="Arial" w:hAnsi="Arial"/>
                <w:sz w:val="18"/>
                <w:szCs w:val="18"/>
              </w:rPr>
              <w:t xml:space="preserve">AI-Assisted System</w:t>
            </w:r>
          </w:p>
        </w:tc>
        <w:tc>
          <w:tcPr>
            <w:tcW w:type="dxa" w:w="6960"/>
            <w:tcBorders>
              <w:top w:val="single" w:color="999999" w:sz="1"/>
              <w:left w:val="single" w:color="999999" w:sz="1"/>
              <w:bottom w:val="single" w:color="999999" w:sz="1"/>
              <w:right w:val="single" w:color="999999" w:sz="1"/>
            </w:tcBorders>
            <w:shd w:fill="F0F3F7" w:val="clear"/>
            <w:tcMar>
              <w:top w:type="dxa" w:w="80"/>
              <w:left w:type="dxa" w:w="120"/>
              <w:bottom w:type="dxa" w:w="80"/>
              <w:right w:type="dxa" w:w="120"/>
            </w:tcMar>
          </w:tcPr>
          <w:p>
            <w:r>
              <w:rPr>
                <w:rFonts w:ascii="Arial" w:cs="Arial" w:eastAsia="Arial" w:hAnsi="Arial"/>
                <w:sz w:val="18"/>
                <w:szCs w:val="18"/>
              </w:rPr>
              <w:t xml:space="preserve">Any system where one or more components employ machine learning, statistical inference, or generative models to influence outputs, decisions, or recommendations.</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18"/>
                <w:szCs w:val="18"/>
              </w:rPr>
              <w:t xml:space="preserve">Verification Harness</w:t>
            </w:r>
          </w:p>
        </w:tc>
        <w:tc>
          <w:tcPr>
            <w:tcW w:type="dxa" w:w="69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18"/>
                <w:szCs w:val="18"/>
              </w:rPr>
              <w:t xml:space="preserve">The complete set of tests, monitoring, human-review gates, and rollback mechanisms that envelop an AI component before and during production operation.</w:t>
            </w:r>
          </w:p>
        </w:tc>
      </w:tr>
      <w:tr>
        <w:tc>
          <w:tcPr>
            <w:tcW w:type="dxa" w:w="2400"/>
            <w:tcBorders>
              <w:top w:val="single" w:color="999999" w:sz="1"/>
              <w:left w:val="single" w:color="999999" w:sz="1"/>
              <w:bottom w:val="single" w:color="999999" w:sz="1"/>
              <w:right w:val="single" w:color="999999" w:sz="1"/>
            </w:tcBorders>
            <w:shd w:fill="F0F3F7" w:val="clear"/>
            <w:tcMar>
              <w:top w:type="dxa" w:w="80"/>
              <w:left w:type="dxa" w:w="120"/>
              <w:bottom w:type="dxa" w:w="80"/>
              <w:right w:type="dxa" w:w="120"/>
            </w:tcMar>
          </w:tcPr>
          <w:p>
            <w:r>
              <w:rPr>
                <w:rFonts w:ascii="Arial" w:cs="Arial" w:eastAsia="Arial" w:hAnsi="Arial"/>
                <w:sz w:val="18"/>
                <w:szCs w:val="18"/>
              </w:rPr>
              <w:t xml:space="preserve">Output Integrity</w:t>
            </w:r>
          </w:p>
        </w:tc>
        <w:tc>
          <w:tcPr>
            <w:tcW w:type="dxa" w:w="6960"/>
            <w:tcBorders>
              <w:top w:val="single" w:color="999999" w:sz="1"/>
              <w:left w:val="single" w:color="999999" w:sz="1"/>
              <w:bottom w:val="single" w:color="999999" w:sz="1"/>
              <w:right w:val="single" w:color="999999" w:sz="1"/>
            </w:tcBorders>
            <w:shd w:fill="F0F3F7" w:val="clear"/>
            <w:tcMar>
              <w:top w:type="dxa" w:w="80"/>
              <w:left w:type="dxa" w:w="120"/>
              <w:bottom w:type="dxa" w:w="80"/>
              <w:right w:type="dxa" w:w="120"/>
            </w:tcMar>
          </w:tcPr>
          <w:p>
            <w:r>
              <w:rPr>
                <w:rFonts w:ascii="Arial" w:cs="Arial" w:eastAsia="Arial" w:hAnsi="Arial"/>
                <w:sz w:val="18"/>
                <w:szCs w:val="18"/>
              </w:rPr>
              <w:t xml:space="preserve">The property that AI-generated outputs have been validated against ground truth, domain constraints, or expert review before delivery to end users.</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18"/>
                <w:szCs w:val="18"/>
              </w:rPr>
              <w:t xml:space="preserve">Informed Exposure</w:t>
            </w:r>
          </w:p>
        </w:tc>
        <w:tc>
          <w:tcPr>
            <w:tcW w:type="dxa" w:w="69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18"/>
                <w:szCs w:val="18"/>
              </w:rPr>
              <w:t xml:space="preserve">A state in which a human user has been notified, in plain language, that AI materially contributed to a product, decision, or content they are consuming.</w:t>
            </w:r>
          </w:p>
        </w:tc>
      </w:tr>
      <w:tr>
        <w:tc>
          <w:tcPr>
            <w:tcW w:type="dxa" w:w="2400"/>
            <w:tcBorders>
              <w:top w:val="single" w:color="999999" w:sz="1"/>
              <w:left w:val="single" w:color="999999" w:sz="1"/>
              <w:bottom w:val="single" w:color="999999" w:sz="1"/>
              <w:right w:val="single" w:color="999999" w:sz="1"/>
            </w:tcBorders>
            <w:shd w:fill="F0F3F7" w:val="clear"/>
            <w:tcMar>
              <w:top w:type="dxa" w:w="80"/>
              <w:left w:type="dxa" w:w="120"/>
              <w:bottom w:type="dxa" w:w="80"/>
              <w:right w:type="dxa" w:w="120"/>
            </w:tcMar>
          </w:tcPr>
          <w:p>
            <w:r>
              <w:rPr>
                <w:rFonts w:ascii="Arial" w:cs="Arial" w:eastAsia="Arial" w:hAnsi="Arial"/>
                <w:sz w:val="18"/>
                <w:szCs w:val="18"/>
              </w:rPr>
              <w:t xml:space="preserve">Ethical Refusal</w:t>
            </w:r>
          </w:p>
        </w:tc>
        <w:tc>
          <w:tcPr>
            <w:tcW w:type="dxa" w:w="6960"/>
            <w:tcBorders>
              <w:top w:val="single" w:color="999999" w:sz="1"/>
              <w:left w:val="single" w:color="999999" w:sz="1"/>
              <w:bottom w:val="single" w:color="999999" w:sz="1"/>
              <w:right w:val="single" w:color="999999" w:sz="1"/>
            </w:tcBorders>
            <w:shd w:fill="F0F3F7" w:val="clear"/>
            <w:tcMar>
              <w:top w:type="dxa" w:w="80"/>
              <w:left w:type="dxa" w:w="120"/>
              <w:bottom w:type="dxa" w:w="80"/>
              <w:right w:type="dxa" w:w="120"/>
            </w:tcMar>
          </w:tcPr>
          <w:p>
            <w:r>
              <w:rPr>
                <w:rFonts w:ascii="Arial" w:cs="Arial" w:eastAsia="Arial" w:hAnsi="Arial"/>
                <w:sz w:val="18"/>
                <w:szCs w:val="18"/>
              </w:rPr>
              <w:t xml:space="preserve">A documented decision by a professional to decline implementation of an AI system or feature on grounds of safety, deception, unverifiability, or harm to human dignity.</w:t>
            </w:r>
          </w:p>
        </w:tc>
      </w:tr>
      <w:tr>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18"/>
                <w:szCs w:val="18"/>
              </w:rPr>
              <w:t xml:space="preserve">Conformance Level</w:t>
            </w:r>
          </w:p>
        </w:tc>
        <w:tc>
          <w:tcPr>
            <w:tcW w:type="dxa" w:w="69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18"/>
                <w:szCs w:val="18"/>
              </w:rPr>
              <w:t xml:space="preserve">A tier (CL-1 through CL-3) indicating the depth of ACG requirement satisfaction achieved by an organization. See Section 9.</w:t>
            </w:r>
          </w:p>
        </w:tc>
      </w:tr>
    </w:tbl>
    <w:p>
      <w:pPr>
        <w:spacing w:after="120"/>
      </w:pPr>
    </w:p>
    <w:p>
      <w:pPr>
        <w:pStyle w:val="Heading1"/>
      </w:pPr>
      <w:r>
        <w:rPr>
          <w:rFonts w:ascii="Arial" w:cs="Arial" w:eastAsia="Arial" w:hAnsi="Arial"/>
        </w:rPr>
        <w:t xml:space="preserve">4  Conformance Keyword Conventions</w:t>
      </w:r>
    </w:p>
    <w:p>
      <w:pPr>
        <w:spacing w:after="120"/>
      </w:pPr>
      <w:r>
        <w:rPr>
          <w:rFonts w:ascii="Arial" w:cs="Arial" w:eastAsia="Arial" w:hAnsi="Arial"/>
          <w:sz w:val="22"/>
          <w:szCs w:val="22"/>
        </w:rPr>
        <w:t xml:space="preserve">This specification follows RFC 2119 keyword semantics. SHALL and SHALL NOT indicate mandatory requirements. SHOULD and SHOULD NOT indicate recommendations. MAY indicates an option. All normative requirements are tagged with unique identifiers (e.g., ACG-Q-001) for traceability.</w:t>
      </w:r>
    </w:p>
    <w:p>
      <w:pPr>
        <w:pStyle w:val="Heading1"/>
      </w:pPr>
      <w:r>
        <w:rPr>
          <w:rFonts w:ascii="Arial" w:cs="Arial" w:eastAsia="Arial" w:hAnsi="Arial"/>
        </w:rPr>
        <w:t xml:space="preserve">5  Innovation Acceptance Requirements</w:t>
      </w:r>
    </w:p>
    <w:p>
      <w:pPr>
        <w:spacing w:after="120"/>
      </w:pPr>
      <w:r>
        <w:rPr>
          <w:rFonts w:ascii="Arial" w:cs="Arial" w:eastAsia="Arial" w:hAnsi="Arial"/>
          <w:sz w:val="22"/>
          <w:szCs w:val="22"/>
        </w:rPr>
        <w:t xml:space="preserve">Corresponding Manifesto Principle: Embracing Innovation</w:t>
      </w:r>
    </w:p>
    <w:p>
      <w:pPr>
        <w:pStyle w:val="Heading2"/>
      </w:pPr>
      <w:r>
        <w:rPr>
          <w:rFonts w:ascii="Arial" w:cs="Arial" w:eastAsia="Arial" w:hAnsi="Arial"/>
        </w:rPr>
        <w:t xml:space="preserve">5.1  Technology Evaluation</w:t>
      </w:r>
    </w:p>
    <w:p>
      <w:pPr>
        <w:spacing w:after="120"/>
      </w:pPr>
      <w:r>
        <w:rPr>
          <w:rFonts w:ascii="Arial" w:cs="Arial" w:eastAsia="Arial" w:hAnsi="Arial"/>
          <w:b/>
          <w:bCs/>
          <w:sz w:val="22"/>
          <w:szCs w:val="22"/>
        </w:rPr>
        <w:t xml:space="preserve">ACG-I-001: </w:t>
      </w:r>
      <w:r>
        <w:rPr>
          <w:rFonts w:ascii="Arial" w:cs="Arial" w:eastAsia="Arial" w:hAnsi="Arial"/>
          <w:sz w:val="22"/>
          <w:szCs w:val="22"/>
        </w:rPr>
        <w:t xml:space="preserve">Organizations SHALL maintain a documented process for evaluating new AI technologies against defined acceptance criteria before adoption into production workflows.</w:t>
      </w:r>
    </w:p>
    <w:p>
      <w:pPr>
        <w:spacing w:after="120"/>
      </w:pPr>
      <w:r>
        <w:rPr>
          <w:rFonts w:ascii="Arial" w:cs="Arial" w:eastAsia="Arial" w:hAnsi="Arial"/>
          <w:b/>
          <w:bCs/>
          <w:sz w:val="22"/>
          <w:szCs w:val="22"/>
        </w:rPr>
        <w:t xml:space="preserve">ACG-I-002: </w:t>
      </w:r>
      <w:r>
        <w:rPr>
          <w:rFonts w:ascii="Arial" w:cs="Arial" w:eastAsia="Arial" w:hAnsi="Arial"/>
          <w:sz w:val="22"/>
          <w:szCs w:val="22"/>
        </w:rPr>
        <w:t xml:space="preserve">Evaluation criteria SHALL include, at minimum: (a) empirical evidence of capability claims, (b) known failure modes, (c) licensing and IP implications, (d) alignment with existing safety and quality standards.</w:t>
      </w:r>
    </w:p>
    <w:p>
      <w:pPr>
        <w:spacing w:after="120"/>
      </w:pPr>
      <w:r>
        <w:rPr>
          <w:rFonts w:ascii="Arial" w:cs="Arial" w:eastAsia="Arial" w:hAnsi="Arial"/>
          <w:b/>
          <w:bCs/>
          <w:sz w:val="22"/>
          <w:szCs w:val="22"/>
        </w:rPr>
        <w:t xml:space="preserve">ACG-I-003: </w:t>
      </w:r>
      <w:r>
        <w:rPr>
          <w:rFonts w:ascii="Arial" w:cs="Arial" w:eastAsia="Arial" w:hAnsi="Arial"/>
          <w:sz w:val="22"/>
          <w:szCs w:val="22"/>
        </w:rPr>
        <w:t xml:space="preserve">Organizations SHOULD NOT adopt AI technologies based solely on vendor demonstrations, benchmarks without reproducible methodology, or marketing claims. Adoption SHALL require independent verification on organization-specific workloads.</w:t>
      </w:r>
    </w:p>
    <w:p>
      <w:pPr>
        <w:pStyle w:val="Heading2"/>
      </w:pPr>
      <w:r>
        <w:rPr>
          <w:rFonts w:ascii="Arial" w:cs="Arial" w:eastAsia="Arial" w:hAnsi="Arial"/>
        </w:rPr>
        <w:t xml:space="preserve">5.2  Verification Method</w:t>
      </w:r>
    </w:p>
    <w:p>
      <w:pPr>
        <w:spacing w:after="120"/>
      </w:pPr>
      <w:r>
        <w:rPr>
          <w:rFonts w:ascii="Arial" w:cs="Arial" w:eastAsia="Arial" w:hAnsi="Arial"/>
          <w:sz w:val="22"/>
          <w:szCs w:val="22"/>
        </w:rPr>
        <w:t xml:space="preserve">Conformance with Section 5 is verified by audit of the technology evaluation register, which SHALL include dated entries, evaluation outcomes, and approval/rejection rationale for each AI technology assessed.</w:t>
      </w:r>
    </w:p>
    <w:p>
      <w:pPr>
        <w:pStyle w:val="Heading1"/>
      </w:pPr>
      <w:r>
        <w:rPr>
          <w:rFonts w:ascii="Arial" w:cs="Arial" w:eastAsia="Arial" w:hAnsi="Arial"/>
        </w:rPr>
        <w:t xml:space="preserve">6  Output Quality Requirements</w:t>
      </w:r>
    </w:p>
    <w:p>
      <w:pPr>
        <w:spacing w:after="120"/>
      </w:pPr>
      <w:r>
        <w:rPr>
          <w:rFonts w:ascii="Arial" w:cs="Arial" w:eastAsia="Arial" w:hAnsi="Arial"/>
          <w:sz w:val="22"/>
          <w:szCs w:val="22"/>
        </w:rPr>
        <w:t xml:space="preserve">Corresponding Manifesto Principle: Demanding Quality</w:t>
      </w:r>
    </w:p>
    <w:p>
      <w:pPr>
        <w:pStyle w:val="Heading2"/>
      </w:pPr>
      <w:r>
        <w:rPr>
          <w:rFonts w:ascii="Arial" w:cs="Arial" w:eastAsia="Arial" w:hAnsi="Arial"/>
        </w:rPr>
        <w:t xml:space="preserve">6.1  Verification Harness</w:t>
      </w:r>
    </w:p>
    <w:p>
      <w:pPr>
        <w:spacing w:after="120"/>
      </w:pPr>
      <w:r>
        <w:rPr>
          <w:rFonts w:ascii="Arial" w:cs="Arial" w:eastAsia="Arial" w:hAnsi="Arial"/>
          <w:b/>
          <w:bCs/>
          <w:sz w:val="22"/>
          <w:szCs w:val="22"/>
        </w:rPr>
        <w:t xml:space="preserve">ACG-Q-001: </w:t>
      </w:r>
      <w:r>
        <w:rPr>
          <w:rFonts w:ascii="Arial" w:cs="Arial" w:eastAsia="Arial" w:hAnsi="Arial"/>
          <w:sz w:val="22"/>
          <w:szCs w:val="22"/>
        </w:rPr>
        <w:t xml:space="preserve">Every AI-assisted output that reaches production, end users, or downstream systems SHALL pass through a documented verification harness prior to delivery.</w:t>
      </w:r>
    </w:p>
    <w:p>
      <w:pPr>
        <w:spacing w:after="120"/>
      </w:pPr>
      <w:r>
        <w:rPr>
          <w:rFonts w:ascii="Arial" w:cs="Arial" w:eastAsia="Arial" w:hAnsi="Arial"/>
          <w:b/>
          <w:bCs/>
          <w:sz w:val="22"/>
          <w:szCs w:val="22"/>
        </w:rPr>
        <w:t xml:space="preserve">ACG-Q-002: </w:t>
      </w:r>
      <w:r>
        <w:rPr>
          <w:rFonts w:ascii="Arial" w:cs="Arial" w:eastAsia="Arial" w:hAnsi="Arial"/>
          <w:sz w:val="22"/>
          <w:szCs w:val="22"/>
        </w:rPr>
        <w:t xml:space="preserve">The verification harness SHALL include at least one of: (a) automated test suites with defined coverage thresholds, (b) human expert review with documented acceptance criteria, (c) statistical validation against ground-truth datasets with defined accuracy minimums.</w:t>
      </w:r>
    </w:p>
    <w:p>
      <w:pPr>
        <w:spacing w:after="120"/>
      </w:pPr>
      <w:r>
        <w:rPr>
          <w:rFonts w:ascii="Arial" w:cs="Arial" w:eastAsia="Arial" w:hAnsi="Arial"/>
          <w:b/>
          <w:bCs/>
          <w:sz w:val="22"/>
          <w:szCs w:val="22"/>
        </w:rPr>
        <w:t xml:space="preserve">ACG-Q-003: </w:t>
      </w:r>
      <w:r>
        <w:rPr>
          <w:rFonts w:ascii="Arial" w:cs="Arial" w:eastAsia="Arial" w:hAnsi="Arial"/>
          <w:sz w:val="22"/>
          <w:szCs w:val="22"/>
        </w:rPr>
        <w:t xml:space="preserve">Organizations SHALL NOT deploy AI-generated code, content, or decisions to production without version-controlled evidence that the verification harness was executed and passed.</w:t>
      </w:r>
    </w:p>
    <w:p>
      <w:pPr>
        <w:pStyle w:val="Heading2"/>
      </w:pPr>
      <w:r>
        <w:rPr>
          <w:rFonts w:ascii="Arial" w:cs="Arial" w:eastAsia="Arial" w:hAnsi="Arial"/>
        </w:rPr>
        <w:t xml:space="preserve">6.2  Defect Tracking</w:t>
      </w:r>
    </w:p>
    <w:p>
      <w:pPr>
        <w:spacing w:after="120"/>
      </w:pPr>
      <w:r>
        <w:rPr>
          <w:rFonts w:ascii="Arial" w:cs="Arial" w:eastAsia="Arial" w:hAnsi="Arial"/>
          <w:b/>
          <w:bCs/>
          <w:sz w:val="22"/>
          <w:szCs w:val="22"/>
        </w:rPr>
        <w:t xml:space="preserve">ACG-Q-004: </w:t>
      </w:r>
      <w:r>
        <w:rPr>
          <w:rFonts w:ascii="Arial" w:cs="Arial" w:eastAsia="Arial" w:hAnsi="Arial"/>
          <w:sz w:val="22"/>
          <w:szCs w:val="22"/>
        </w:rPr>
        <w:t xml:space="preserve">AI-originated defects SHALL be tracked separately in the defect management system, tagged with the originating model identifier and version, to enable trend analysis.</w:t>
      </w:r>
    </w:p>
    <w:p>
      <w:pPr>
        <w:spacing w:after="120"/>
      </w:pPr>
      <w:r>
        <w:rPr>
          <w:rFonts w:ascii="Arial" w:cs="Arial" w:eastAsia="Arial" w:hAnsi="Arial"/>
          <w:b/>
          <w:bCs/>
          <w:sz w:val="22"/>
          <w:szCs w:val="22"/>
        </w:rPr>
        <w:t xml:space="preserve">ACG-Q-005: </w:t>
      </w:r>
      <w:r>
        <w:rPr>
          <w:rFonts w:ascii="Arial" w:cs="Arial" w:eastAsia="Arial" w:hAnsi="Arial"/>
          <w:sz w:val="22"/>
          <w:szCs w:val="22"/>
        </w:rPr>
        <w:t xml:space="preserve">When AI-originated defect rates exceed organization-defined thresholds, the responsible AI component SHALL be suspended from production use until root cause analysis is complete.</w:t>
      </w:r>
    </w:p>
    <w:p>
      <w:pPr>
        <w:pStyle w:val="Heading2"/>
      </w:pPr>
      <w:r>
        <w:rPr>
          <w:rFonts w:ascii="Arial" w:cs="Arial" w:eastAsia="Arial" w:hAnsi="Arial"/>
        </w:rPr>
        <w:t xml:space="preserve">6.3  Verification Method</w:t>
      </w:r>
    </w:p>
    <w:p>
      <w:pPr>
        <w:spacing w:after="120"/>
      </w:pPr>
      <w:r>
        <w:rPr>
          <w:rFonts w:ascii="Arial" w:cs="Arial" w:eastAsia="Arial" w:hAnsi="Arial"/>
          <w:sz w:val="22"/>
          <w:szCs w:val="22"/>
        </w:rPr>
        <w:t xml:space="preserve">Conformance with Section 6 is verified by inspection of the verification harness artifacts, defect tracking records, and evidence of suspension actions taken when thresholds were breached.</w:t>
      </w:r>
    </w:p>
    <w:p>
      <w:pPr>
        <w:pStyle w:val="Heading1"/>
      </w:pPr>
      <w:r>
        <w:rPr>
          <w:rFonts w:ascii="Arial" w:cs="Arial" w:eastAsia="Arial" w:hAnsi="Arial"/>
        </w:rPr>
        <w:t xml:space="preserve">7  Safety and Security Requirements</w:t>
      </w:r>
    </w:p>
    <w:p>
      <w:pPr>
        <w:spacing w:after="120"/>
      </w:pPr>
      <w:r>
        <w:rPr>
          <w:rFonts w:ascii="Arial" w:cs="Arial" w:eastAsia="Arial" w:hAnsi="Arial"/>
          <w:sz w:val="22"/>
          <w:szCs w:val="22"/>
        </w:rPr>
        <w:t xml:space="preserve">Corresponding Manifesto Principle: Ensuring Safety &amp; Security</w:t>
      </w:r>
    </w:p>
    <w:p>
      <w:pPr>
        <w:pStyle w:val="Heading2"/>
      </w:pPr>
      <w:r>
        <w:rPr>
          <w:rFonts w:ascii="Arial" w:cs="Arial" w:eastAsia="Arial" w:hAnsi="Arial"/>
        </w:rPr>
        <w:t xml:space="preserve">7.1  Threat Modeling</w:t>
      </w:r>
    </w:p>
    <w:p>
      <w:pPr>
        <w:spacing w:after="120"/>
      </w:pPr>
      <w:r>
        <w:rPr>
          <w:rFonts w:ascii="Arial" w:cs="Arial" w:eastAsia="Arial" w:hAnsi="Arial"/>
          <w:b/>
          <w:bCs/>
          <w:sz w:val="22"/>
          <w:szCs w:val="22"/>
        </w:rPr>
        <w:t xml:space="preserve">ACG-S-001: </w:t>
      </w:r>
      <w:r>
        <w:rPr>
          <w:rFonts w:ascii="Arial" w:cs="Arial" w:eastAsia="Arial" w:hAnsi="Arial"/>
          <w:sz w:val="22"/>
          <w:szCs w:val="22"/>
        </w:rPr>
        <w:t xml:space="preserve">AI-assisted systems SHALL undergo threat modeling that addresses, at minimum: (a) adversarial inputs (prompt injection, data poisoning), (b) model exfiltration, (c) unintended information disclosure, (d) supply-chain compromise of model weights or training data.</w:t>
      </w:r>
    </w:p>
    <w:p>
      <w:pPr>
        <w:pStyle w:val="Heading2"/>
      </w:pPr>
      <w:r>
        <w:rPr>
          <w:rFonts w:ascii="Arial" w:cs="Arial" w:eastAsia="Arial" w:hAnsi="Arial"/>
        </w:rPr>
        <w:t xml:space="preserve">7.2  Operational Boundaries</w:t>
      </w:r>
    </w:p>
    <w:p>
      <w:pPr>
        <w:spacing w:after="120"/>
      </w:pPr>
      <w:r>
        <w:rPr>
          <w:rFonts w:ascii="Arial" w:cs="Arial" w:eastAsia="Arial" w:hAnsi="Arial"/>
          <w:b/>
          <w:bCs/>
          <w:sz w:val="22"/>
          <w:szCs w:val="22"/>
        </w:rPr>
        <w:t xml:space="preserve">ACG-S-002: </w:t>
      </w:r>
      <w:r>
        <w:rPr>
          <w:rFonts w:ascii="Arial" w:cs="Arial" w:eastAsia="Arial" w:hAnsi="Arial"/>
          <w:sz w:val="22"/>
          <w:szCs w:val="22"/>
        </w:rPr>
        <w:t xml:space="preserve">Each AI component SHALL have documented operational boundaries specifying the domain, input ranges, and confidence thresholds within which it is authorized to operate. Outputs generated outside these boundaries SHALL be flagged or suppressed.</w:t>
      </w:r>
    </w:p>
    <w:p>
      <w:pPr>
        <w:spacing w:after="120"/>
      </w:pPr>
      <w:r>
        <w:rPr>
          <w:rFonts w:ascii="Arial" w:cs="Arial" w:eastAsia="Arial" w:hAnsi="Arial"/>
          <w:b/>
          <w:bCs/>
          <w:sz w:val="22"/>
          <w:szCs w:val="22"/>
        </w:rPr>
        <w:t xml:space="preserve">ACG-S-003: </w:t>
      </w:r>
      <w:r>
        <w:rPr>
          <w:rFonts w:ascii="Arial" w:cs="Arial" w:eastAsia="Arial" w:hAnsi="Arial"/>
          <w:sz w:val="22"/>
          <w:szCs w:val="22"/>
        </w:rPr>
        <w:t xml:space="preserve">Safety-critical applications (SIL 1 and above per IEC 61511) SHALL NOT delegate final safety decisions to AI components without an independent, non-AI verification layer.</w:t>
      </w:r>
    </w:p>
    <w:p>
      <w:pPr>
        <w:pStyle w:val="Heading2"/>
      </w:pPr>
      <w:r>
        <w:rPr>
          <w:rFonts w:ascii="Arial" w:cs="Arial" w:eastAsia="Arial" w:hAnsi="Arial"/>
        </w:rPr>
        <w:t xml:space="preserve">7.3  Legal Liability</w:t>
      </w:r>
    </w:p>
    <w:p>
      <w:pPr>
        <w:spacing w:after="120"/>
      </w:pPr>
      <w:r>
        <w:rPr>
          <w:rFonts w:ascii="Arial" w:cs="Arial" w:eastAsia="Arial" w:hAnsi="Arial"/>
          <w:b/>
          <w:bCs/>
          <w:sz w:val="22"/>
          <w:szCs w:val="22"/>
        </w:rPr>
        <w:t xml:space="preserve">ACG-S-004: </w:t>
      </w:r>
      <w:r>
        <w:rPr>
          <w:rFonts w:ascii="Arial" w:cs="Arial" w:eastAsia="Arial" w:hAnsi="Arial"/>
          <w:sz w:val="22"/>
          <w:szCs w:val="22"/>
        </w:rPr>
        <w:t xml:space="preserve">Organizations SHALL maintain clear documentation of liability assignment for AI-assisted decisions, identifying the accountable human or organizational entity for each deployed AI system.</w:t>
      </w:r>
    </w:p>
    <w:p>
      <w:pPr>
        <w:pStyle w:val="Heading2"/>
      </w:pPr>
      <w:r>
        <w:rPr>
          <w:rFonts w:ascii="Arial" w:cs="Arial" w:eastAsia="Arial" w:hAnsi="Arial"/>
        </w:rPr>
        <w:t xml:space="preserve">7.4  Verification Method</w:t>
      </w:r>
    </w:p>
    <w:p>
      <w:pPr>
        <w:spacing w:after="120"/>
      </w:pPr>
      <w:r>
        <w:rPr>
          <w:rFonts w:ascii="Arial" w:cs="Arial" w:eastAsia="Arial" w:hAnsi="Arial"/>
          <w:sz w:val="22"/>
          <w:szCs w:val="22"/>
        </w:rPr>
        <w:t xml:space="preserve">Conformance with Section 7 is verified by review of threat models, boundary specifications, SIL assessment documentation, and liability assignment records.</w:t>
      </w:r>
    </w:p>
    <w:p>
      <w:pPr>
        <w:pStyle w:val="Heading1"/>
      </w:pPr>
      <w:r>
        <w:rPr>
          <w:rFonts w:ascii="Arial" w:cs="Arial" w:eastAsia="Arial" w:hAnsi="Arial"/>
        </w:rPr>
        <w:t xml:space="preserve">8  Human Protection Requirements</w:t>
      </w:r>
    </w:p>
    <w:p>
      <w:pPr>
        <w:spacing w:after="120"/>
      </w:pPr>
      <w:r>
        <w:rPr>
          <w:rFonts w:ascii="Arial" w:cs="Arial" w:eastAsia="Arial" w:hAnsi="Arial"/>
          <w:sz w:val="22"/>
          <w:szCs w:val="22"/>
        </w:rPr>
        <w:t xml:space="preserve">Corresponding Manifesto Principle: Protecting Humans + Respecting User Agency</w:t>
      </w:r>
    </w:p>
    <w:p>
      <w:pPr>
        <w:pStyle w:val="Heading2"/>
      </w:pPr>
      <w:r>
        <w:rPr>
          <w:rFonts w:ascii="Arial" w:cs="Arial" w:eastAsia="Arial" w:hAnsi="Arial"/>
        </w:rPr>
        <w:t xml:space="preserve">8.1  Informed Exposure</w:t>
      </w:r>
    </w:p>
    <w:p>
      <w:pPr>
        <w:spacing w:after="120"/>
      </w:pPr>
      <w:r>
        <w:rPr>
          <w:rFonts w:ascii="Arial" w:cs="Arial" w:eastAsia="Arial" w:hAnsi="Arial"/>
          <w:b/>
          <w:bCs/>
          <w:sz w:val="22"/>
          <w:szCs w:val="22"/>
        </w:rPr>
        <w:t xml:space="preserve">ACG-H-001: </w:t>
      </w:r>
      <w:r>
        <w:rPr>
          <w:rFonts w:ascii="Arial" w:cs="Arial" w:eastAsia="Arial" w:hAnsi="Arial"/>
          <w:sz w:val="22"/>
          <w:szCs w:val="22"/>
        </w:rPr>
        <w:t xml:space="preserve">Users SHALL be informed, in plain language appropriate to their context, when AI materially contributes to content, decisions, or recommendations they receive. This notification SHALL be proximate to the AI-influenced output, not buried in terms of service.</w:t>
      </w:r>
    </w:p>
    <w:p>
      <w:pPr>
        <w:spacing w:after="120"/>
      </w:pPr>
      <w:r>
        <w:rPr>
          <w:rFonts w:ascii="Arial" w:cs="Arial" w:eastAsia="Arial" w:hAnsi="Arial"/>
          <w:b/>
          <w:bCs/>
          <w:sz w:val="22"/>
          <w:szCs w:val="22"/>
        </w:rPr>
        <w:t xml:space="preserve">ACG-H-002: </w:t>
      </w:r>
      <w:r>
        <w:rPr>
          <w:rFonts w:ascii="Arial" w:cs="Arial" w:eastAsia="Arial" w:hAnsi="Arial"/>
          <w:sz w:val="22"/>
          <w:szCs w:val="22"/>
        </w:rPr>
        <w:t xml:space="preserve">Users SHALL retain the ability to request a non-AI alternative, human review, or explanation of any AI-assisted decision that affects their rights, employment, finances, health, or safety.</w:t>
      </w:r>
    </w:p>
    <w:p>
      <w:pPr>
        <w:pStyle w:val="Heading2"/>
      </w:pPr>
      <w:r>
        <w:rPr>
          <w:rFonts w:ascii="Arial" w:cs="Arial" w:eastAsia="Arial" w:hAnsi="Arial"/>
        </w:rPr>
        <w:t xml:space="preserve">8.2  Psychological Safety</w:t>
      </w:r>
    </w:p>
    <w:p>
      <w:pPr>
        <w:spacing w:after="120"/>
      </w:pPr>
      <w:r>
        <w:rPr>
          <w:rFonts w:ascii="Arial" w:cs="Arial" w:eastAsia="Arial" w:hAnsi="Arial"/>
          <w:b/>
          <w:bCs/>
          <w:sz w:val="22"/>
          <w:szCs w:val="22"/>
        </w:rPr>
        <w:t xml:space="preserve">ACG-H-003: </w:t>
      </w:r>
      <w:r>
        <w:rPr>
          <w:rFonts w:ascii="Arial" w:cs="Arial" w:eastAsia="Arial" w:hAnsi="Arial"/>
          <w:sz w:val="22"/>
          <w:szCs w:val="22"/>
        </w:rPr>
        <w:t xml:space="preserve">AI systems that interact directly with humans (chatbots, content generators, recommendation engines) SHALL be evaluated for potential psychological harms including: (a) manipulation or dark patterns, (b) generation of distressing content without appropriate safeguards, (c) creation of parasocial dependency.</w:t>
      </w:r>
    </w:p>
    <w:p>
      <w:pPr>
        <w:spacing w:after="120"/>
      </w:pPr>
      <w:r>
        <w:rPr>
          <w:rFonts w:ascii="Arial" w:cs="Arial" w:eastAsia="Arial" w:hAnsi="Arial"/>
          <w:b/>
          <w:bCs/>
          <w:sz w:val="22"/>
          <w:szCs w:val="22"/>
        </w:rPr>
        <w:t xml:space="preserve">ACG-H-004: </w:t>
      </w:r>
      <w:r>
        <w:rPr>
          <w:rFonts w:ascii="Arial" w:cs="Arial" w:eastAsia="Arial" w:hAnsi="Arial"/>
          <w:sz w:val="22"/>
          <w:szCs w:val="22"/>
        </w:rPr>
        <w:t xml:space="preserve">Organizations SHOULD establish feedback channels through which users can report adverse psychological effects of AI-assisted products, and SHALL review such reports on a quarterly cadence at minimum.</w:t>
      </w:r>
    </w:p>
    <w:p>
      <w:pPr>
        <w:pStyle w:val="Heading2"/>
      </w:pPr>
      <w:r>
        <w:rPr>
          <w:rFonts w:ascii="Arial" w:cs="Arial" w:eastAsia="Arial" w:hAnsi="Arial"/>
        </w:rPr>
        <w:t xml:space="preserve">8.3  Verification Method</w:t>
      </w:r>
    </w:p>
    <w:p>
      <w:pPr>
        <w:spacing w:after="120"/>
      </w:pPr>
      <w:r>
        <w:rPr>
          <w:rFonts w:ascii="Arial" w:cs="Arial" w:eastAsia="Arial" w:hAnsi="Arial"/>
          <w:sz w:val="22"/>
          <w:szCs w:val="22"/>
        </w:rPr>
        <w:t xml:space="preserve">Conformance with Section 8 is verified by inspection of user-facing notification mechanisms, availability of human-review pathways, psychological harm evaluations, and feedback channel activity logs.</w:t>
      </w:r>
    </w:p>
    <w:p>
      <w:pPr>
        <w:pStyle w:val="Heading1"/>
      </w:pPr>
      <w:r>
        <w:rPr>
          <w:rFonts w:ascii="Arial" w:cs="Arial" w:eastAsia="Arial" w:hAnsi="Arial"/>
        </w:rPr>
        <w:t xml:space="preserve">9  Ethical Refusal Requirements</w:t>
      </w:r>
    </w:p>
    <w:p>
      <w:pPr>
        <w:spacing w:after="120"/>
      </w:pPr>
      <w:r>
        <w:rPr>
          <w:rFonts w:ascii="Arial" w:cs="Arial" w:eastAsia="Arial" w:hAnsi="Arial"/>
          <w:sz w:val="22"/>
          <w:szCs w:val="22"/>
        </w:rPr>
        <w:t xml:space="preserve">Corresponding Manifesto Principle: The Right and Duty to Refuse</w:t>
      </w:r>
    </w:p>
    <w:p>
      <w:pPr>
        <w:spacing w:after="120"/>
      </w:pPr>
      <w:r>
        <w:rPr>
          <w:rFonts w:ascii="Arial" w:cs="Arial" w:eastAsia="Arial" w:hAnsi="Arial"/>
          <w:b/>
          <w:bCs/>
          <w:sz w:val="22"/>
          <w:szCs w:val="22"/>
        </w:rPr>
        <w:t xml:space="preserve">ACG-R-001: </w:t>
      </w:r>
      <w:r>
        <w:rPr>
          <w:rFonts w:ascii="Arial" w:cs="Arial" w:eastAsia="Arial" w:hAnsi="Arial"/>
          <w:sz w:val="22"/>
          <w:szCs w:val="22"/>
        </w:rPr>
        <w:t xml:space="preserve">Organizations SHALL establish a documented ethical refusal process through which any engineer, developer, or technical professional may formally decline to implement, deploy, or maintain an AI system on grounds of safety, deception, unverifiability, or harm to human dignity.</w:t>
      </w:r>
    </w:p>
    <w:p>
      <w:pPr>
        <w:spacing w:after="120"/>
      </w:pPr>
      <w:r>
        <w:rPr>
          <w:rFonts w:ascii="Arial" w:cs="Arial" w:eastAsia="Arial" w:hAnsi="Arial"/>
          <w:b/>
          <w:bCs/>
          <w:sz w:val="22"/>
          <w:szCs w:val="22"/>
        </w:rPr>
        <w:t xml:space="preserve">ACG-R-002: </w:t>
      </w:r>
      <w:r>
        <w:rPr>
          <w:rFonts w:ascii="Arial" w:cs="Arial" w:eastAsia="Arial" w:hAnsi="Arial"/>
          <w:sz w:val="22"/>
          <w:szCs w:val="22"/>
        </w:rPr>
        <w:t xml:space="preserve">Ethical refusals SHALL be recorded in a protected register. The refusing professional SHALL NOT face retaliation, disciplinary action, or adverse career consequences as a result of a documented ethical refusal.</w:t>
      </w:r>
    </w:p>
    <w:p>
      <w:pPr>
        <w:spacing w:after="120"/>
      </w:pPr>
      <w:r>
        <w:rPr>
          <w:rFonts w:ascii="Arial" w:cs="Arial" w:eastAsia="Arial" w:hAnsi="Arial"/>
          <w:b/>
          <w:bCs/>
          <w:sz w:val="22"/>
          <w:szCs w:val="22"/>
        </w:rPr>
        <w:t xml:space="preserve">ACG-R-003: </w:t>
      </w:r>
      <w:r>
        <w:rPr>
          <w:rFonts w:ascii="Arial" w:cs="Arial" w:eastAsia="Arial" w:hAnsi="Arial"/>
          <w:sz w:val="22"/>
          <w:szCs w:val="22"/>
        </w:rPr>
        <w:t xml:space="preserve">Each ethical refusal SHALL trigger an independent review by a designated ethics officer, safety committee, or equivalent body within 15 business days. The review outcome SHALL be documented and communicated to the refusing professional.</w:t>
      </w:r>
    </w:p>
    <w:p>
      <w:pPr>
        <w:pStyle w:val="Heading2"/>
      </w:pPr>
      <w:r>
        <w:rPr>
          <w:rFonts w:ascii="Arial" w:cs="Arial" w:eastAsia="Arial" w:hAnsi="Arial"/>
        </w:rPr>
        <w:t xml:space="preserve">9.1  Verification Method</w:t>
      </w:r>
    </w:p>
    <w:p>
      <w:pPr>
        <w:spacing w:after="120"/>
      </w:pPr>
      <w:r>
        <w:rPr>
          <w:rFonts w:ascii="Arial" w:cs="Arial" w:eastAsia="Arial" w:hAnsi="Arial"/>
          <w:sz w:val="22"/>
          <w:szCs w:val="22"/>
        </w:rPr>
        <w:t xml:space="preserve">Conformance with Section 9 is verified by existence of the ethical refusal policy, inspection of the protected register, evidence of independent review completion within the 15-day window, and absence of retaliatory actions.</w:t>
      </w:r>
    </w:p>
    <w:p>
      <w:pPr>
        <w:pStyle w:val="Heading1"/>
      </w:pPr>
      <w:r>
        <w:rPr>
          <w:rFonts w:ascii="Arial" w:cs="Arial" w:eastAsia="Arial" w:hAnsi="Arial"/>
        </w:rPr>
        <w:t xml:space="preserve">10  Conformance Levels</w:t>
      </w:r>
    </w:p>
    <w:p>
      <w:pPr>
        <w:spacing w:after="120"/>
      </w:pPr>
      <w:r>
        <w:rPr>
          <w:rFonts w:ascii="Arial" w:cs="Arial" w:eastAsia="Arial" w:hAnsi="Arial"/>
          <w:sz w:val="22"/>
          <w:szCs w:val="22"/>
        </w:rPr>
        <w:t xml:space="preserve">Organizations may achieve conformance at three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Level</w:t>
            </w:r>
          </w:p>
        </w:tc>
        <w:tc>
          <w:tcPr>
            <w:tcW w:type="dxa" w:w="24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Designation</w:t>
            </w:r>
          </w:p>
        </w:tc>
        <w:tc>
          <w:tcPr>
            <w:tcW w:type="dxa" w:w="576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Requirements</w:t>
            </w:r>
          </w:p>
        </w:tc>
      </w:tr>
      <w:tr>
        <w:tc>
          <w:tcPr>
            <w:tcW w:type="dxa" w:w="1200"/>
            <w:tcBorders>
              <w:top w:val="single" w:color="999999" w:sz="1"/>
              <w:left w:val="single" w:color="999999" w:sz="1"/>
              <w:bottom w:val="single" w:color="999999" w:sz="1"/>
              <w:right w:val="single" w:color="999999" w:sz="1"/>
            </w:tcBorders>
            <w:shd w:fill="F0F3F7" w:val="clear"/>
            <w:tcMar>
              <w:top w:type="dxa" w:w="80"/>
              <w:left w:type="dxa" w:w="120"/>
              <w:bottom w:type="dxa" w:w="80"/>
              <w:right w:type="dxa" w:w="120"/>
            </w:tcMar>
          </w:tcPr>
          <w:p>
            <w:r>
              <w:rPr>
                <w:rFonts w:ascii="Arial" w:cs="Arial" w:eastAsia="Arial" w:hAnsi="Arial"/>
                <w:sz w:val="18"/>
                <w:szCs w:val="18"/>
              </w:rPr>
              <w:t xml:space="preserve">CL-1</w:t>
            </w:r>
          </w:p>
        </w:tc>
        <w:tc>
          <w:tcPr>
            <w:tcW w:type="dxa" w:w="2400"/>
            <w:tcBorders>
              <w:top w:val="single" w:color="999999" w:sz="1"/>
              <w:left w:val="single" w:color="999999" w:sz="1"/>
              <w:bottom w:val="single" w:color="999999" w:sz="1"/>
              <w:right w:val="single" w:color="999999" w:sz="1"/>
            </w:tcBorders>
            <w:shd w:fill="F0F3F7" w:val="clear"/>
            <w:tcMar>
              <w:top w:type="dxa" w:w="80"/>
              <w:left w:type="dxa" w:w="120"/>
              <w:bottom w:type="dxa" w:w="80"/>
              <w:right w:type="dxa" w:w="120"/>
            </w:tcMar>
          </w:tcPr>
          <w:p>
            <w:r>
              <w:rPr>
                <w:rFonts w:ascii="Arial" w:cs="Arial" w:eastAsia="Arial" w:hAnsi="Arial"/>
                <w:sz w:val="18"/>
                <w:szCs w:val="18"/>
              </w:rPr>
              <w:t xml:space="preserve">Foundation</w:t>
            </w:r>
          </w:p>
        </w:tc>
        <w:tc>
          <w:tcPr>
            <w:tcW w:type="dxa" w:w="5760"/>
            <w:tcBorders>
              <w:top w:val="single" w:color="999999" w:sz="1"/>
              <w:left w:val="single" w:color="999999" w:sz="1"/>
              <w:bottom w:val="single" w:color="999999" w:sz="1"/>
              <w:right w:val="single" w:color="999999" w:sz="1"/>
            </w:tcBorders>
            <w:shd w:fill="F0F3F7" w:val="clear"/>
            <w:tcMar>
              <w:top w:type="dxa" w:w="80"/>
              <w:left w:type="dxa" w:w="120"/>
              <w:bottom w:type="dxa" w:w="80"/>
              <w:right w:type="dxa" w:w="120"/>
            </w:tcMar>
          </w:tcPr>
          <w:p>
            <w:r>
              <w:rPr>
                <w:rFonts w:ascii="Arial" w:cs="Arial" w:eastAsia="Arial" w:hAnsi="Arial"/>
                <w:sz w:val="18"/>
                <w:szCs w:val="18"/>
              </w:rPr>
              <w:t xml:space="preserve">All SHALL requirements in Sections 5 and 6 satisfied. Documented verification harness in active use. Technology evaluation register maintained.</w:t>
            </w:r>
          </w:p>
        </w:tc>
      </w:tr>
      <w:tr>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18"/>
                <w:szCs w:val="18"/>
              </w:rPr>
              <w:t xml:space="preserve">CL-2</w:t>
            </w:r>
          </w:p>
        </w:tc>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18"/>
                <w:szCs w:val="18"/>
              </w:rPr>
              <w:t xml:space="preserve">Assured</w:t>
            </w:r>
          </w:p>
        </w:tc>
        <w:tc>
          <w:tcPr>
            <w:tcW w:type="dxa" w:w="57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18"/>
                <w:szCs w:val="18"/>
              </w:rPr>
              <w:t xml:space="preserve">CL-1 plus all SHALL requirements in Sections 7 and 8 satisfied. Threat models current. Informed exposure mechanisms deployed. Liability assignments documented.</w:t>
            </w:r>
          </w:p>
        </w:tc>
      </w:tr>
      <w:tr>
        <w:tc>
          <w:tcPr>
            <w:tcW w:type="dxa" w:w="1200"/>
            <w:tcBorders>
              <w:top w:val="single" w:color="999999" w:sz="1"/>
              <w:left w:val="single" w:color="999999" w:sz="1"/>
              <w:bottom w:val="single" w:color="999999" w:sz="1"/>
              <w:right w:val="single" w:color="999999" w:sz="1"/>
            </w:tcBorders>
            <w:shd w:fill="F0F3F7" w:val="clear"/>
            <w:tcMar>
              <w:top w:type="dxa" w:w="80"/>
              <w:left w:type="dxa" w:w="120"/>
              <w:bottom w:type="dxa" w:w="80"/>
              <w:right w:type="dxa" w:w="120"/>
            </w:tcMar>
          </w:tcPr>
          <w:p>
            <w:r>
              <w:rPr>
                <w:rFonts w:ascii="Arial" w:cs="Arial" w:eastAsia="Arial" w:hAnsi="Arial"/>
                <w:sz w:val="18"/>
                <w:szCs w:val="18"/>
              </w:rPr>
              <w:t xml:space="preserve">CL-3</w:t>
            </w:r>
          </w:p>
        </w:tc>
        <w:tc>
          <w:tcPr>
            <w:tcW w:type="dxa" w:w="2400"/>
            <w:tcBorders>
              <w:top w:val="single" w:color="999999" w:sz="1"/>
              <w:left w:val="single" w:color="999999" w:sz="1"/>
              <w:bottom w:val="single" w:color="999999" w:sz="1"/>
              <w:right w:val="single" w:color="999999" w:sz="1"/>
            </w:tcBorders>
            <w:shd w:fill="F0F3F7" w:val="clear"/>
            <w:tcMar>
              <w:top w:type="dxa" w:w="80"/>
              <w:left w:type="dxa" w:w="120"/>
              <w:bottom w:type="dxa" w:w="80"/>
              <w:right w:type="dxa" w:w="120"/>
            </w:tcMar>
          </w:tcPr>
          <w:p>
            <w:r>
              <w:rPr>
                <w:rFonts w:ascii="Arial" w:cs="Arial" w:eastAsia="Arial" w:hAnsi="Arial"/>
                <w:sz w:val="18"/>
                <w:szCs w:val="18"/>
              </w:rPr>
              <w:t xml:space="preserve">Principled</w:t>
            </w:r>
          </w:p>
        </w:tc>
        <w:tc>
          <w:tcPr>
            <w:tcW w:type="dxa" w:w="5760"/>
            <w:tcBorders>
              <w:top w:val="single" w:color="999999" w:sz="1"/>
              <w:left w:val="single" w:color="999999" w:sz="1"/>
              <w:bottom w:val="single" w:color="999999" w:sz="1"/>
              <w:right w:val="single" w:color="999999" w:sz="1"/>
            </w:tcBorders>
            <w:shd w:fill="F0F3F7" w:val="clear"/>
            <w:tcMar>
              <w:top w:type="dxa" w:w="80"/>
              <w:left w:type="dxa" w:w="120"/>
              <w:bottom w:type="dxa" w:w="80"/>
              <w:right w:type="dxa" w:w="120"/>
            </w:tcMar>
          </w:tcPr>
          <w:p>
            <w:r>
              <w:rPr>
                <w:rFonts w:ascii="Arial" w:cs="Arial" w:eastAsia="Arial" w:hAnsi="Arial"/>
                <w:sz w:val="18"/>
                <w:szCs w:val="18"/>
              </w:rPr>
              <w:t xml:space="preserve">CL-2 plus all SHALL requirements in Section 9 satisfied, and all SHOULD requirements across the specification satisfied. Ethical refusal process active with protected register. Full quarterly review cadence operational.</w:t>
            </w:r>
          </w:p>
        </w:tc>
      </w:tr>
    </w:tbl>
    <w:p>
      <w:pPr>
        <w:spacing w:after="120"/>
      </w:pPr>
    </w:p>
    <w:p>
      <w:pPr>
        <w:pStyle w:val="Heading1"/>
      </w:pPr>
      <w:r>
        <w:rPr>
          <w:rFonts w:ascii="Arial" w:cs="Arial" w:eastAsia="Arial" w:hAnsi="Arial"/>
        </w:rPr>
        <w:t xml:space="preserve">11  Audit and Certification</w:t>
      </w:r>
    </w:p>
    <w:p>
      <w:pPr>
        <w:spacing w:after="120"/>
      </w:pPr>
      <w:r>
        <w:rPr>
          <w:rFonts w:ascii="Arial" w:cs="Arial" w:eastAsia="Arial" w:hAnsi="Arial"/>
          <w:b/>
          <w:bCs/>
          <w:sz w:val="22"/>
          <w:szCs w:val="22"/>
        </w:rPr>
        <w:t xml:space="preserve">ACG-A-001: </w:t>
      </w:r>
      <w:r>
        <w:rPr>
          <w:rFonts w:ascii="Arial" w:cs="Arial" w:eastAsia="Arial" w:hAnsi="Arial"/>
          <w:sz w:val="22"/>
          <w:szCs w:val="22"/>
        </w:rPr>
        <w:t xml:space="preserve">Conformance assessments SHALL be conducted by auditors who are independent of the organization being assessed and who have no financial interest in the outcome.</w:t>
      </w:r>
    </w:p>
    <w:p>
      <w:pPr>
        <w:spacing w:after="120"/>
      </w:pPr>
      <w:r>
        <w:rPr>
          <w:rFonts w:ascii="Arial" w:cs="Arial" w:eastAsia="Arial" w:hAnsi="Arial"/>
          <w:b/>
          <w:bCs/>
          <w:sz w:val="22"/>
          <w:szCs w:val="22"/>
        </w:rPr>
        <w:t xml:space="preserve">ACG-A-002: </w:t>
      </w:r>
      <w:r>
        <w:rPr>
          <w:rFonts w:ascii="Arial" w:cs="Arial" w:eastAsia="Arial" w:hAnsi="Arial"/>
          <w:sz w:val="22"/>
          <w:szCs w:val="22"/>
        </w:rPr>
        <w:t xml:space="preserve">Conformance certifications are valid for 24 months from the date of assessment. Re-certification SHALL require a full audit, not a desk review.</w:t>
      </w:r>
    </w:p>
    <w:p>
      <w:pPr>
        <w:spacing w:after="120"/>
      </w:pPr>
      <w:r>
        <w:rPr>
          <w:rFonts w:ascii="Arial" w:cs="Arial" w:eastAsia="Arial" w:hAnsi="Arial"/>
          <w:b/>
          <w:bCs/>
          <w:sz w:val="22"/>
          <w:szCs w:val="22"/>
        </w:rPr>
        <w:t xml:space="preserve">ACG-A-003: </w:t>
      </w:r>
      <w:r>
        <w:rPr>
          <w:rFonts w:ascii="Arial" w:cs="Arial" w:eastAsia="Arial" w:hAnsi="Arial"/>
          <w:sz w:val="22"/>
          <w:szCs w:val="22"/>
        </w:rPr>
        <w:t xml:space="preserve">Material changes to AI systems, including model upgrades, training data changes, or deployment scope expansions, SHALL trigger a conformance impact assessment within 30 days.</w:t>
      </w:r>
    </w:p>
    <w:p>
      <w:pPr>
        <w:pStyle w:val="Heading1"/>
      </w:pPr>
      <w:r>
        <w:rPr>
          <w:rFonts w:ascii="Arial" w:cs="Arial" w:eastAsia="Arial" w:hAnsi="Arial"/>
        </w:rPr>
        <w:t xml:space="preserve">Annex A (Informative): Relationship to the ACG Manifesto</w:t>
      </w:r>
    </w:p>
    <w:p>
      <w:pPr>
        <w:spacing w:after="120"/>
      </w:pPr>
      <w:r>
        <w:rPr>
          <w:rFonts w:ascii="Arial" w:cs="Arial" w:eastAsia="Arial" w:hAnsi="Arial"/>
          <w:sz w:val="22"/>
          <w:szCs w:val="22"/>
        </w:rPr>
        <w:t xml:space="preserve">This specification operationalizes the six principles of the ACG Manifesto into auditable requirements. The manifesto provides the philosophical foundation; this document provides the engineering discipline. Neither replaces the other. An organization may sign the manifesto as a statement of intent and pursue this specification as evidence of implementation.</w:t>
      </w:r>
    </w:p>
    <w:p>
      <w:pPr>
        <w:spacing w:after="120"/>
      </w:pPr>
      <w:r>
        <w:rPr>
          <w:rFonts w:ascii="Arial" w:cs="Arial" w:eastAsia="Arial" w:hAnsi="Arial"/>
          <w:sz w:val="22"/>
          <w:szCs w:val="22"/>
        </w:rPr>
        <w:t xml:space="preserve">The numbering of requirements deliberately maps to manifesto principles: I-series (Innovation), Q-series (Quality), S-series (Safety/Security), H-series (Human Protection), R-series (Refusal Rights), A-series (Audit). This traceability is intentional and SHALL be maintained in future revisions.</w:t>
      </w:r>
    </w:p>
    <w:p>
      <w:pPr>
        <w:pStyle w:val="Heading1"/>
      </w:pPr>
      <w:r>
        <w:rPr>
          <w:rFonts w:ascii="Arial" w:cs="Arial" w:eastAsia="Arial" w:hAnsi="Arial"/>
        </w:rPr>
        <w:t xml:space="preserve">Annex B (Informative): On Binary Boundaries and Ethical Ones</w:t>
      </w:r>
    </w:p>
    <w:p>
      <w:pPr>
        <w:spacing w:after="120"/>
      </w:pPr>
      <w:r>
        <w:rPr>
          <w:rFonts w:ascii="Arial" w:cs="Arial" w:eastAsia="Arial" w:hAnsi="Arial"/>
          <w:sz w:val="22"/>
          <w:szCs w:val="22"/>
        </w:rPr>
        <w:t xml:space="preserve">Every n-bit register in a digital system has a maximum value of 2ⁿ − 1. This is not a design choice; it is a consequence of binary representation. These Mersenne-number boundaries define the operational limits that standards like ISA-62443 and ISA-88 must account for.</w:t>
      </w:r>
    </w:p>
    <w:p>
      <w:pPr>
        <w:spacing w:after="120"/>
      </w:pPr>
      <w:r>
        <w:rPr>
          <w:rFonts w:ascii="Arial" w:cs="Arial" w:eastAsia="Arial" w:hAnsi="Arial"/>
          <w:sz w:val="22"/>
          <w:szCs w:val="22"/>
        </w:rPr>
        <w:t xml:space="preserve">Professional ethics works the same way. The boundary conditions of acceptable practice are not arbitrary — they emerge from the structure of the system itself: the relationship between humans, technology, and trust. This specification attempts to make those boundaries as explicit and verifiable as the ones that govern a 16-bit register or a CRC polynomial.</w:t>
      </w:r>
    </w:p>
    <w:p>
      <w:pPr>
        <w:spacing w:after="120"/>
      </w:pPr>
      <w:r>
        <w:rPr>
          <w:rFonts w:ascii="Arial" w:cs="Arial" w:eastAsia="Arial" w:hAnsi="Arial"/>
          <w:sz w:val="22"/>
          <w:szCs w:val="22"/>
        </w:rPr>
        <w:t xml:space="preserve">Where the Mersenne Primes paper demonstrates that 2ⁿ − 1 is the fundamental constant of binary representation, this specification proposes that informed consent, verifiable quality, and the right to refuse are the fundamental constants of ethical AI engineering. Both are structural, not optional.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360"/>
      </w:tabs>
    </w:pPr>
    <w:r>
      <w:rPr>
        <w:rFonts w:ascii="Arial" w:cs="Arial" w:eastAsia="Arial" w:hAnsi="Arial"/>
        <w:color w:val="999999"/>
        <w:sz w:val="16"/>
        <w:szCs w:val="16"/>
      </w:rPr>
      <w:t xml:space="preserve">ACG-TS-001.1-2026</w:t>
    </w:r>
    <w:r>
      <w:rPr>
        <w:rFonts w:ascii="Arial" w:cs="Arial" w:eastAsia="Arial" w:hAnsi="Arial"/>
        <w:sz w:val="16"/>
        <w:szCs w:val="16"/>
      </w:rPr>
      <w:t xml:space="preserve">		</w:t>
    </w:r>
    <w:r>
      <w:rPr>
        <w:rFonts w:ascii="Arial" w:cs="Arial" w:eastAsia="Arial" w:hAnsi="Arial"/>
        <w:i/>
        <w:iCs/>
        <w:color w:val="999999"/>
        <w:sz w:val="16"/>
        <w:szCs w:val="16"/>
      </w:rPr>
      <w:t xml:space="preserve">AI-Assisted Systems Conformance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5090"/>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A3A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2026-03-12T18:02:39.809Z</dcterms:created>
  <dcterms:modified xsi:type="dcterms:W3CDTF">2026-03-12T18:02:39.810Z</dcterms:modified>
</cp:coreProperties>
</file>

<file path=docProps/custom.xml><?xml version="1.0" encoding="utf-8"?>
<Properties xmlns="http://schemas.openxmlformats.org/officeDocument/2006/custom-properties" xmlns:vt="http://schemas.openxmlformats.org/officeDocument/2006/docPropsVTypes"/>
</file>