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2025年度收发文登记管理办法</w:t>
      </w:r>
    </w:p>
    <w:p>
      <w:r>
        <w:t/>
      </w:r>
    </w:p>
    <w:p>
      <w:r>
        <w:t>编制单位：集团办公室</w:t>
      </w:r>
    </w:p>
    <w:p>
      <w:r>
        <w:t>生效日期：2025-01-01</w:t>
      </w:r>
    </w:p>
    <w:p>
      <w:r>
        <w:t/>
      </w:r>
    </w:p>
    <w:p>
      <w:r>
        <w:t>第一章 总则</w:t>
      </w:r>
    </w:p>
    <w:p>
      <w:r>
        <w:t>为规范公司收发文登记管理，确保公文可追溯、可查询，</w:t>
      </w:r>
    </w:p>
    <w:p>
      <w:r>
        <w:t>制定本办法。</w:t>
      </w:r>
    </w:p>
    <w:p>
      <w:r>
        <w:t/>
      </w:r>
    </w:p>
    <w:p>
      <w:r>
        <w:t>第二章 收文登记</w:t>
      </w:r>
    </w:p>
    <w:p>
      <w:r>
        <w:t>收文须在 24 小时内完成登记，录入文号、来文单位、</w:t>
      </w:r>
    </w:p>
    <w:p>
      <w:r>
        <w:t>收文日期、密级、缓急程度等信息。</w:t>
      </w:r>
    </w:p>
    <w:p>
      <w:r>
        <w:t/>
      </w:r>
    </w:p>
    <w:p>
      <w:r>
        <w:t>第三章 发文登记</w:t>
      </w:r>
    </w:p>
    <w:p>
      <w:r>
        <w:t>发文须经审批后登记编号，统一使用集团文号规则。</w:t>
      </w:r>
    </w:p>
    <w:sectPr/>
  </w:body>
</w:document>
</file>

<file path=word/_rels/document.xml.rels><?xml version="1.0" encoding="UTF-8" standalone="yes"?>
<Relationships xmlns="http://schemas.openxmlformats.org/package/2006/relationships"/>

</file>