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Architecture — Licensing Authority</w:t>
      </w:r>
    </w:p>
    <w:p>
      <w:pPr>
        <w:pStyle w:val="Heading1"/>
      </w:pPr>
      <w:r>
        <w:t>1. Purpose</w:t>
      </w:r>
    </w:p>
    <w:p>
      <w:r>
        <w:t>This document describes the current business architecture of the Licensing Authority, covering business capabilities, processes and the organisational units responsible for them.</w:t>
      </w:r>
    </w:p>
    <w:p>
      <w:pPr>
        <w:pStyle w:val="Heading1"/>
      </w:pPr>
      <w:r>
        <w:t>2. Business Capabilities</w:t>
      </w:r>
    </w:p>
    <w:p>
      <w:r>
        <w:t>The Authority operates three core capabilities: License Management, Inspection Management, and Fee Collection. License Management contributes to the strategic objective of reducing license processing time to three working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Capability</w:t>
            </w:r>
          </w:p>
        </w:tc>
        <w:tc>
          <w:tcPr>
            <w:tcW w:type="dxa" w:w="2880"/>
          </w:tcPr>
          <w:p>
            <w:r>
              <w:t>Owning Department</w:t>
            </w:r>
          </w:p>
        </w:tc>
        <w:tc>
          <w:tcPr>
            <w:tcW w:type="dxa" w:w="2880"/>
          </w:tcPr>
          <w:p>
            <w:r>
              <w:t>Supporting Processes</w:t>
            </w:r>
          </w:p>
        </w:tc>
      </w:tr>
      <w:tr>
        <w:tc>
          <w:tcPr>
            <w:tcW w:type="dxa" w:w="2880"/>
          </w:tcPr>
          <w:p>
            <w:r>
              <w:t>License Management</w:t>
            </w:r>
          </w:p>
        </w:tc>
        <w:tc>
          <w:tcPr>
            <w:tcW w:type="dxa" w:w="2880"/>
          </w:tcPr>
          <w:p>
            <w:r>
              <w:t>Licensing Department</w:t>
            </w:r>
          </w:p>
        </w:tc>
        <w:tc>
          <w:tcPr>
            <w:tcW w:type="dxa" w:w="2880"/>
          </w:tcPr>
          <w:p>
            <w:r>
              <w:t>License Issuance; License Renewal</w:t>
            </w:r>
          </w:p>
        </w:tc>
      </w:tr>
      <w:tr>
        <w:tc>
          <w:tcPr>
            <w:tcW w:type="dxa" w:w="2880"/>
          </w:tcPr>
          <w:p>
            <w:r>
              <w:t>Inspection Management</w:t>
            </w:r>
          </w:p>
        </w:tc>
        <w:tc>
          <w:tcPr>
            <w:tcW w:type="dxa" w:w="2880"/>
          </w:tcPr>
          <w:p>
            <w:r>
              <w:t>Inspection Department</w:t>
            </w:r>
          </w:p>
        </w:tc>
        <w:tc>
          <w:tcPr>
            <w:tcW w:type="dxa" w:w="2880"/>
          </w:tcPr>
          <w:p>
            <w:r>
              <w:t>Site Inspection</w:t>
            </w:r>
          </w:p>
        </w:tc>
      </w:tr>
      <w:tr>
        <w:tc>
          <w:tcPr>
            <w:tcW w:type="dxa" w:w="2880"/>
          </w:tcPr>
          <w:p>
            <w:r>
              <w:t>Fee Collection</w:t>
            </w:r>
          </w:p>
        </w:tc>
        <w:tc>
          <w:tcPr>
            <w:tcW w:type="dxa" w:w="2880"/>
          </w:tcPr>
          <w:p>
            <w:r>
              <w:t>Finance Department</w:t>
            </w:r>
          </w:p>
        </w:tc>
        <w:tc>
          <w:tcPr>
            <w:tcW w:type="dxa" w:w="2880"/>
          </w:tcPr>
          <w:p>
            <w:r>
              <w:t>Fee Settlement</w:t>
            </w:r>
          </w:p>
        </w:tc>
      </w:tr>
    </w:tbl>
    <w:p>
      <w:pPr>
        <w:pStyle w:val="Heading1"/>
      </w:pPr>
      <w:r>
        <w:t>3. Business Processes</w:t>
      </w:r>
    </w:p>
    <w:p>
      <w:pPr>
        <w:pStyle w:val="Heading2"/>
      </w:pPr>
      <w:r>
        <w:t>3.1 License Issuance</w:t>
      </w:r>
    </w:p>
    <w:p>
      <w:r>
        <w:t>The License Issuance process is owned by the Licensing Department. Applicants submit requests through the Customer Portal; the request is processed in the licensing system, and a fee is settled before the license is issued. The process triggers Site Inspection for regulated activities.</w:t>
      </w:r>
    </w:p>
    <w:p>
      <w:pPr>
        <w:pStyle w:val="Heading2"/>
      </w:pPr>
      <w:r>
        <w:t>3.2 License Renewal</w:t>
      </w:r>
    </w:p>
    <w:p>
      <w:r>
        <w:t>License Renewal reuses the issuance workflow in Central Licensing and is also owned by the Licensing Department.</w:t>
      </w:r>
    </w:p>
    <w:p>
      <w:pPr>
        <w:pStyle w:val="Heading1"/>
      </w:pPr>
      <w:r>
        <w:t>4. Process Flow</w:t>
      </w:r>
    </w:p>
    <w:p>
      <w:r>
        <w:t>Figure 1 — License Issuance process flow.</w:t>
      </w:r>
    </w:p>
    <w:p>
      <w:r>
        <w:drawing xmlns:a="http://schemas.openxmlformats.org/drawingml/2006/main">
          <wp:inline>
            <wp:extent cx="6000000" cy="650000"/>
            <wp:docPr id="99" name="Diagram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000000" cy="650000"/>
                      <a:chOff x="0" y="0"/>
                      <a:chExt cx="6000000" cy="650000"/>
                    </a:xfrm>
                  </wpg:grpSpPr>
                  <wps:wsp>
                    <wps:cNvPr id="100" name="License Issuance"/>
                    <wps:cNvSpPr/>
                    <wps:spPr>
                      <a:xfrm>
                        <a:off x="0" y="100000"/>
                        <a:ext cx="1500000" cy="450000"/>
                      </a:xfrm>
                      <a:prstGeom prst="roundRect">
                        <a:avLst/>
                      </a:prstGeom>
                    </wps:spPr>
                    <wps:txbx>
                      <w:txbxContent>
                        <w:p>
                          <w:r>
                            <w:t>License Issuance</w:t>
                          </w:r>
                        </w:p>
                      </w:txbxContent>
                    </wps:txbx>
                    <wps:bodyPr/>
                  </wps:wsp>
                  <wps:wsp>
                    <wps:cNvPr id="101" name="Fee Settlement"/>
                    <wps:cNvSpPr/>
                    <wps:spPr>
                      <a:xfrm>
                        <a:off x="2000000" y="100000"/>
                        <a:ext cx="1500000" cy="450000"/>
                      </a:xfrm>
                      <a:prstGeom prst="roundRect">
                        <a:avLst/>
                      </a:prstGeom>
                    </wps:spPr>
                    <wps:txbx>
                      <w:txbxContent>
                        <w:p>
                          <w:r>
                            <w:t>Fee Settlement</w:t>
                          </w:r>
                        </w:p>
                      </w:txbxContent>
                    </wps:txbx>
                    <wps:bodyPr/>
                  </wps:wsp>
                  <wps:wsp>
                    <wps:cNvPr id="102" name="Site Inspection"/>
                    <wps:cNvSpPr/>
                    <wps:spPr>
                      <a:xfrm>
                        <a:off x="4000000" y="100000"/>
                        <a:ext cx="1500000" cy="450000"/>
                      </a:xfrm>
                      <a:prstGeom prst="roundRect">
                        <a:avLst/>
                      </a:prstGeom>
                    </wps:spPr>
                    <wps:txbx>
                      <w:txbxContent>
                        <w:p>
                          <w:r>
                            <w:t>Site Inspection</w:t>
                          </w:r>
                        </w:p>
                      </w:txbxContent>
                    </wps:txbx>
                    <wps:bodyPr/>
                  </wps:wsp>
                  <wps:wsp>
                    <wps:cNvPr id="200" name="Connector 200"/>
                    <wps:cNvCnPr>
                      <a:stCxn id="100" idx="3"/>
                      <a:endCxn id="101" idx="1"/>
                    </wps:cNvCnPr>
                    <wps:spPr>
                      <a:xfrm>
                        <a:off x="1500000" y="325000"/>
                        <a:ext cx="500000" cy="0"/>
                      </a:xfrm>
                      <a:prstGeom prst="straightConnector1">
                        <a:avLst/>
                      </a:prstGeom>
                      <a:ln>
                        <a:tailEnd type="triangle"/>
                      </a:ln>
                    </wps:spPr>
                    <wps:bodyPr/>
                  </wps:wsp>
                  <wps:wsp>
                    <wps:cNvPr id="201" name="Connector 201"/>
                    <wps:cNvCnPr>
                      <a:stCxn id="100" idx="3"/>
                      <a:endCxn id="102" idx="1"/>
                    </wps:cNvCnPr>
                    <wps:spPr>
                      <a:xfrm>
                        <a:off x="1500000" y="325000"/>
                        <a:ext cx="500000" cy="0"/>
                      </a:xfrm>
                      <a:prstGeom prst="straightConnector1">
                        <a:avLst/>
                      </a:prstGeom>
                      <a:ln>
                        <a:tailEnd type="triangle"/>
                      </a:ln>
                    </wps:spPr>
                    <wps:bodyPr/>
                  </wps:wsp>
                </wpg:wgp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