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Architecture — Licensing Authority</w:t>
      </w:r>
    </w:p>
    <w:p>
      <w:pPr>
        <w:pStyle w:val="Heading1"/>
      </w:pPr>
      <w:r>
        <w:t>1. Application Catalogue</w:t>
      </w:r>
    </w:p>
    <w:p>
      <w:r>
        <w:t>The current application landscape comprises seven systems. Licensing Core (internal code LIC-CORE) is the system of record for all licenses.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Customer Portal</w:t>
            </w:r>
          </w:p>
        </w:tc>
        <w:tc>
          <w:tcPr>
            <w:tcW w:type="dxa" w:w="2160"/>
          </w:tcPr>
          <w:p>
            <w:r>
              <w:t>GD of IT</w:t>
            </w:r>
          </w:p>
        </w:tc>
        <w:tc>
          <w:tcPr>
            <w:tcW w:type="dxa" w:w="2160"/>
          </w:tcPr>
          <w:p>
            <w:r>
              <w:t>Oracle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  <w:tr>
        <w:tc>
          <w:tcPr>
            <w:tcW w:type="dxa" w:w="2160"/>
          </w:tcPr>
          <w:p>
            <w:r>
              <w:t>Licensing Core</w:t>
            </w:r>
          </w:p>
        </w:tc>
        <w:tc>
          <w:tcPr>
            <w:tcW w:type="dxa" w:w="2160"/>
          </w:tcPr>
          <w:p>
            <w:r>
              <w:t>GD of IT</w:t>
            </w:r>
          </w:p>
        </w:tc>
        <w:tc>
          <w:tcPr>
            <w:tcW w:type="dxa" w:w="2160"/>
          </w:tcPr>
          <w:p>
            <w:r>
              <w:t>In-house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  <w:tr>
        <w:tc>
          <w:tcPr>
            <w:tcW w:type="dxa" w:w="2160"/>
          </w:tcPr>
          <w:p>
            <w:r>
              <w:t>Inspection Mobile App</w:t>
            </w:r>
          </w:p>
        </w:tc>
        <w:tc>
          <w:tcPr>
            <w:tcW w:type="dxa" w:w="2160"/>
          </w:tcPr>
          <w:p>
            <w:r>
              <w:t>Inspection Department</w:t>
            </w:r>
          </w:p>
        </w:tc>
        <w:tc>
          <w:tcPr>
            <w:tcW w:type="dxa" w:w="2160"/>
          </w:tcPr>
          <w:p>
            <w:r>
              <w:t>Vendor X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  <w:tr>
        <w:tc>
          <w:tcPr>
            <w:tcW w:type="dxa" w:w="2160"/>
          </w:tcPr>
          <w:p>
            <w:r>
              <w:t>Payment Gateway</w:t>
            </w:r>
          </w:p>
        </w:tc>
        <w:tc>
          <w:tcPr>
            <w:tcW w:type="dxa" w:w="2160"/>
          </w:tcPr>
          <w:p>
            <w:r>
              <w:t>Finance Department</w:t>
            </w:r>
          </w:p>
        </w:tc>
        <w:tc>
          <w:tcPr>
            <w:tcW w:type="dxa" w:w="2160"/>
          </w:tcPr>
          <w:p>
            <w:r>
              <w:t>SADAD integration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  <w:tr>
        <w:tc>
          <w:tcPr>
            <w:tcW w:type="dxa" w:w="2160"/>
          </w:tcPr>
          <w:p>
            <w:r>
              <w:t>Identity Service</w:t>
            </w:r>
          </w:p>
        </w:tc>
        <w:tc>
          <w:tcPr>
            <w:tcW w:type="dxa" w:w="2160"/>
          </w:tcPr>
          <w:p>
            <w:r>
              <w:t>GD of IT</w:t>
            </w:r>
          </w:p>
        </w:tc>
        <w:tc>
          <w:tcPr>
            <w:tcW w:type="dxa" w:w="2160"/>
          </w:tcPr>
          <w:p>
            <w:r>
              <w:t>In-house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  <w:tr>
        <w:tc>
          <w:tcPr>
            <w:tcW w:type="dxa" w:w="2160"/>
          </w:tcPr>
          <w:p>
            <w:r>
              <w:t>SMS Gateway</w:t>
            </w:r>
          </w:p>
        </w:tc>
        <w:tc>
          <w:tcPr>
            <w:tcW w:type="dxa" w:w="2160"/>
          </w:tcPr>
          <w:p>
            <w:r>
              <w:t>GD of IT</w:t>
            </w:r>
          </w:p>
        </w:tc>
        <w:tc>
          <w:tcPr>
            <w:tcW w:type="dxa" w:w="2160"/>
          </w:tcPr>
          <w:p>
            <w:r>
              <w:t>Vendor Y (hosted abroad)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  <w:tr>
        <w:tc>
          <w:tcPr>
            <w:tcW w:type="dxa" w:w="2160"/>
          </w:tcPr>
          <w:p>
            <w:r>
              <w:t>Document Management System</w:t>
            </w:r>
          </w:p>
        </w:tc>
        <w:tc>
          <w:tcPr>
            <w:tcW w:type="dxa" w:w="2160"/>
          </w:tcPr>
          <w:p>
            <w:r>
              <w:t>unassigned</w:t>
            </w:r>
          </w:p>
        </w:tc>
        <w:tc>
          <w:tcPr>
            <w:tcW w:type="dxa" w:w="2160"/>
          </w:tcPr>
          <w:p>
            <w:r>
              <w:t>OpenText</w:t>
            </w:r>
          </w:p>
        </w:tc>
        <w:tc>
          <w:tcPr>
            <w:tcW w:type="dxa" w:w="2160"/>
          </w:tcPr>
          <w:p>
            <w:r>
              <w:t>In operation</w:t>
            </w:r>
          </w:p>
        </w:tc>
      </w:tr>
    </w:tbl>
    <w:p>
      <w:pPr>
        <w:pStyle w:val="Heading1"/>
      </w:pPr>
      <w:r>
        <w:t>2. Application Services</w:t>
      </w:r>
    </w:p>
    <w:p>
      <w:r>
        <w:t>Licensing Core supports the License Issuance and License Renewal processes. The Customer Portal depends on the Identity Service for applicant authentication and sends submitted applications to Licensing Core.</w:t>
      </w:r>
    </w:p>
    <w:p>
      <w:pPr>
        <w:pStyle w:val="Heading1"/>
      </w:pPr>
      <w:r>
        <w:t>3. Integrations</w:t>
      </w:r>
    </w:p>
    <w:p>
      <w:pPr>
        <w:pStyle w:val="Heading2"/>
      </w:pPr>
      <w:r>
        <w:t>3.1 Interfaces of Licensing Core</w:t>
      </w:r>
    </w:p>
    <w:p>
      <w:r>
        <w:t>• Payment Gateway — nightly fee settlement file</w:t>
      </w:r>
    </w:p>
    <w:p>
      <w:r>
        <w:t>• Document Management System — stores issued license PDFs</w:t>
      </w:r>
    </w:p>
    <w:p>
      <w:r>
        <w:t>• Inspection Mobile App — receives inspection assignments</w:t>
      </w:r>
    </w:p>
    <w:p>
      <w:pPr>
        <w:pStyle w:val="Heading2"/>
      </w:pPr>
      <w:r>
        <w:t>3.2 Planned Integrations</w:t>
      </w:r>
    </w:p>
    <w:p>
      <w:r>
        <w:t>In Phase 2, Licensing Core will be integrated with the National Address Registry to validate applicant addresses. A comparison was made with the legacy Fee Collection module, which is scheduled for retirement; no integration with it exists.</w:t>
      </w:r>
    </w:p>
    <w:p>
      <w:pPr>
        <w:pStyle w:val="Heading1"/>
      </w:pPr>
      <w:r>
        <w:t>4. Integration Diagram</w:t>
      </w:r>
    </w:p>
    <w:p>
      <w:r>
        <w:t>Figure 2 — Application integration overview.</w:t>
      </w:r>
    </w:p>
    <w:p>
      <w:r>
        <w:drawing xmlns:a="http://schemas.openxmlformats.org/drawingml/2006/main">
          <wp:inline>
            <wp:extent cx="8000000" cy="650000"/>
            <wp:docPr id="99" name="Diagra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000000" cy="650000"/>
                      <a:chOff x="0" y="0"/>
                      <a:chExt cx="8000000" cy="650000"/>
                    </a:xfrm>
                  </wpg:grpSpPr>
                  <wps:wsp>
                    <wps:cNvPr id="100" name="Customer Portal"/>
                    <wps:cNvSpPr/>
                    <wps:spPr>
                      <a:xfrm>
                        <a:off x="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Customer Portal</w:t>
                          </w:r>
                        </w:p>
                      </w:txbxContent>
                    </wps:txbx>
                    <wps:bodyPr/>
                  </wps:wsp>
                  <wps:wsp>
                    <wps:cNvPr id="101" name="Identity Service"/>
                    <wps:cNvSpPr/>
                    <wps:spPr>
                      <a:xfrm>
                        <a:off x="2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Identity Service</w:t>
                          </w:r>
                        </w:p>
                      </w:txbxContent>
                    </wps:txbx>
                    <wps:bodyPr/>
                  </wps:wsp>
                  <wps:wsp>
                    <wps:cNvPr id="102" name="Licensing Core"/>
                    <wps:cNvSpPr/>
                    <wps:spPr>
                      <a:xfrm>
                        <a:off x="4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Licensing Core</w:t>
                          </w:r>
                        </w:p>
                      </w:txbxContent>
                    </wps:txbx>
                    <wps:bodyPr/>
                  </wps:wsp>
                  <wps:wsp>
                    <wps:cNvPr id="103" name="Payment Gateway"/>
                    <wps:cNvSpPr/>
                    <wps:spPr>
                      <a:xfrm>
                        <a:off x="6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Payment Gateway</w:t>
                          </w:r>
                        </w:p>
                      </w:txbxContent>
                    </wps:txbx>
                    <wps:bodyPr/>
                  </wps:wsp>
                  <wps:wsp>
                    <wps:cNvPr id="200" name="Connector 200"/>
                    <wps:cNvCnPr>
                      <a:stCxn id="100" idx="3"/>
                      <a:endCxn id="101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1" name="Connector 201"/>
                    <wps:cNvCnPr>
                      <a:stCxn id="100" idx="3"/>
                      <a:endCxn id="102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2" name="Connector 202"/>
                    <wps:cNvCnPr>
                      <a:stCxn id="102" idx="3"/>
                      <a:endCxn id="103" idx="1"/>
                    </wps:cNvCnPr>
                    <wps:spPr>
                      <a:xfrm>
                        <a:off x="5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