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Architecture — Licensing Authority</w:t>
      </w:r>
    </w:p>
    <w:p>
      <w:pPr>
        <w:pStyle w:val="Heading1"/>
      </w:pPr>
      <w:r>
        <w:t>1. Data Entities</w:t>
      </w:r>
    </w:p>
    <w:p>
      <w:r>
        <w:t>The Authority's conceptual data model has four principal entities. The Applicant Record contains the national ID and contact details and is classified Confidential.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Entity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System of Record</w:t>
            </w:r>
          </w:p>
        </w:tc>
        <w:tc>
          <w:tcPr>
            <w:tcW w:type="dxa" w:w="2160"/>
          </w:tcPr>
          <w:p>
            <w:r>
              <w:t>Stored In</w:t>
            </w:r>
          </w:p>
        </w:tc>
      </w:tr>
      <w:tr>
        <w:tc>
          <w:tcPr>
            <w:tcW w:type="dxa" w:w="2160"/>
          </w:tcPr>
          <w:p>
            <w:r>
              <w:t>Applicant Record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Licensing Core</w:t>
            </w:r>
          </w:p>
        </w:tc>
        <w:tc>
          <w:tcPr>
            <w:tcW w:type="dxa" w:w="2160"/>
          </w:tcPr>
          <w:p>
            <w:r>
              <w:t>Licensing DB</w:t>
            </w:r>
          </w:p>
        </w:tc>
      </w:tr>
      <w:tr>
        <w:tc>
          <w:tcPr>
            <w:tcW w:type="dxa" w:w="2160"/>
          </w:tcPr>
          <w:p>
            <w:r>
              <w:t>License Record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Licensing Core</w:t>
            </w:r>
          </w:p>
        </w:tc>
        <w:tc>
          <w:tcPr>
            <w:tcW w:type="dxa" w:w="2160"/>
          </w:tcPr>
          <w:p>
            <w:r>
              <w:t>Licensing DB</w:t>
            </w:r>
          </w:p>
        </w:tc>
      </w:tr>
      <w:tr>
        <w:tc>
          <w:tcPr>
            <w:tcW w:type="dxa" w:w="2160"/>
          </w:tcPr>
          <w:p>
            <w:r>
              <w:t>Inspection Report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Inspection Mobile App</w:t>
            </w:r>
          </w:p>
        </w:tc>
        <w:tc>
          <w:tcPr>
            <w:tcW w:type="dxa" w:w="2160"/>
          </w:tcPr>
          <w:p>
            <w:r>
              <w:t>Inspection DB</w:t>
            </w:r>
          </w:p>
        </w:tc>
      </w:tr>
      <w:tr>
        <w:tc>
          <w:tcPr>
            <w:tcW w:type="dxa" w:w="2160"/>
          </w:tcPr>
          <w:p>
            <w:r>
              <w:t>Payment Record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Payment Gateway</w:t>
            </w:r>
          </w:p>
        </w:tc>
        <w:tc>
          <w:tcPr>
            <w:tcW w:type="dxa" w:w="2160"/>
          </w:tcPr>
          <w:p>
            <w:r>
              <w:t>Payments DB</w:t>
            </w:r>
          </w:p>
        </w:tc>
      </w:tr>
    </w:tbl>
    <w:p>
      <w:pPr>
        <w:pStyle w:val="Heading1"/>
      </w:pPr>
      <w:r>
        <w:t>2. Data Flows</w:t>
      </w:r>
    </w:p>
    <w:p>
      <w:r>
        <w:t>The Customer Portal captures the Applicant Record and transmits it to LIC-CORE. The SMS Gateway receives the applicant's mobile number for one-time-password delivery.</w:t>
      </w:r>
    </w:p>
    <w:p>
      <w:pPr>
        <w:pStyle w:val="Heading1"/>
      </w:pPr>
      <w:r>
        <w:t>3. Conceptual Data Model</w:t>
      </w:r>
    </w:p>
    <w:p>
      <w:r>
        <w:t>Figure 3 — Conceptual data model.</w:t>
      </w:r>
    </w:p>
    <w:p>
      <w:r>
        <w:drawing xmlns:a="http://schemas.openxmlformats.org/drawingml/2006/main">
          <wp:inline>
            <wp:extent cx="6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650000"/>
                      <a:chOff x="0" y="0"/>
                      <a:chExt cx="6000000" cy="650000"/>
                    </a:xfrm>
                  </wpg:grpSpPr>
                  <wps:wsp>
                    <wps:cNvPr id="100" name="Applicant Record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Applicant Record</w:t>
                          </w:r>
                        </w:p>
                      </w:txbxContent>
                    </wps:txbx>
                    <wps:bodyPr/>
                  </wps:wsp>
                  <wps:wsp>
                    <wps:cNvPr id="101" name="License Record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License Record</w:t>
                          </w:r>
                        </w:p>
                      </w:txbxContent>
                    </wps:txbx>
                    <wps:bodyPr/>
                  </wps:wsp>
                  <wps:wsp>
                    <wps:cNvPr id="102" name="Payment Record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Payment Record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1" idx="3"/>
                      <a:endCxn id="102" idx="1"/>
                    </wps:cNvCnPr>
                    <wps:spPr>
                      <a:xfrm>
                        <a:off x="3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