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Architecture — Licensing Authority</w:t>
      </w:r>
    </w:p>
    <w:p>
      <w:pPr>
        <w:pStyle w:val="Heading1"/>
      </w:pPr>
      <w:r>
        <w:t>1. Infrastructure Overview</w:t>
      </w:r>
    </w:p>
    <w:p>
      <w:r>
        <w:t>Production workloads run in the Riyadh Data Centre. The licensing system and its database are hosted on dedicated servers; the Customer Portal runs on the Kubernetes cluster.</w:t>
      </w:r>
    </w:p>
    <w:p>
      <w:pPr>
        <w:pStyle w:val="Heading1"/>
      </w:pPr>
      <w:r>
        <w:t>2. Server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Server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Hosts</w:t>
            </w:r>
          </w:p>
        </w:tc>
        <w:tc>
          <w:tcPr>
            <w:tcW w:type="dxa" w:w="2160"/>
          </w:tcPr>
          <w:p>
            <w:r>
              <w:t>Location</w:t>
            </w:r>
          </w:p>
        </w:tc>
      </w:tr>
      <w:tr>
        <w:tc>
          <w:tcPr>
            <w:tcW w:type="dxa" w:w="2160"/>
          </w:tcPr>
          <w:p>
            <w:r>
              <w:t>SRV-ORA-01</w:t>
            </w:r>
          </w:p>
        </w:tc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Licensing DB (Oracle 19c)</w:t>
            </w:r>
          </w:p>
        </w:tc>
        <w:tc>
          <w:tcPr>
            <w:tcW w:type="dxa" w:w="2160"/>
          </w:tcPr>
          <w:p>
            <w:r>
              <w:t>Riyadh DC</w:t>
            </w:r>
          </w:p>
        </w:tc>
      </w:tr>
      <w:tr>
        <w:tc>
          <w:tcPr>
            <w:tcW w:type="dxa" w:w="2160"/>
          </w:tcPr>
          <w:p>
            <w:r>
              <w:t>SRV-APP-01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Licensing Core</w:t>
            </w:r>
          </w:p>
        </w:tc>
        <w:tc>
          <w:tcPr>
            <w:tcW w:type="dxa" w:w="2160"/>
          </w:tcPr>
          <w:p>
            <w:r>
              <w:t>Riyadh DC</w:t>
            </w:r>
          </w:p>
        </w:tc>
      </w:tr>
      <w:tr>
        <w:tc>
          <w:tcPr>
            <w:tcW w:type="dxa" w:w="2160"/>
          </w:tcPr>
          <w:p>
            <w:r>
              <w:t>K8S-PROD</w:t>
            </w:r>
          </w:p>
        </w:tc>
        <w:tc>
          <w:tcPr>
            <w:tcW w:type="dxa" w:w="2160"/>
          </w:tcPr>
          <w:p>
            <w:r>
              <w:t>Container platform</w:t>
            </w:r>
          </w:p>
        </w:tc>
        <w:tc>
          <w:tcPr>
            <w:tcW w:type="dxa" w:w="2160"/>
          </w:tcPr>
          <w:p>
            <w:r>
              <w:t>Customer Portal; Identity Service</w:t>
            </w:r>
          </w:p>
        </w:tc>
        <w:tc>
          <w:tcPr>
            <w:tcW w:type="dxa" w:w="2160"/>
          </w:tcPr>
          <w:p>
            <w:r>
              <w:t>Riyadh DC</w:t>
            </w:r>
          </w:p>
        </w:tc>
      </w:tr>
      <w:tr>
        <w:tc>
          <w:tcPr>
            <w:tcW w:type="dxa" w:w="2160"/>
          </w:tcPr>
          <w:p>
            <w:r>
              <w:t>SRV-APP-02</w:t>
            </w:r>
          </w:p>
        </w:tc>
        <w:tc>
          <w:tcPr>
            <w:tcW w:type="dxa" w:w="2160"/>
          </w:tcPr>
          <w:p>
            <w:r>
              <w:t>Application</w:t>
            </w:r>
          </w:p>
        </w:tc>
        <w:tc>
          <w:tcPr>
            <w:tcW w:type="dxa" w:w="2160"/>
          </w:tcPr>
          <w:p>
            <w:r>
              <w:t>Document Management System</w:t>
            </w:r>
          </w:p>
        </w:tc>
        <w:tc>
          <w:tcPr>
            <w:tcW w:type="dxa" w:w="2160"/>
          </w:tcPr>
          <w:p>
            <w:r>
              <w:t>Riyadh DC</w:t>
            </w:r>
          </w:p>
        </w:tc>
      </w:tr>
    </w:tbl>
    <w:p>
      <w:pPr>
        <w:pStyle w:val="Heading1"/>
      </w:pPr>
      <w:r>
        <w:t>3. Hosting Relationships</w:t>
      </w:r>
    </w:p>
    <w:p>
      <w:r>
        <w:t>Licensing Core runs on SRV-APP-01 and reads and writes the Licensing DB, which runs on SRV-ORA-01. The SMS Gateway is a SaaS service hosted by Vendor Y in the EU region and is not part of the Riyadh estate.</w:t>
      </w:r>
    </w:p>
    <w:p>
      <w:pPr>
        <w:pStyle w:val="Heading1"/>
      </w:pPr>
      <w:r>
        <w:t>4. Deployment Diagram</w:t>
      </w:r>
    </w:p>
    <w:p>
      <w:r>
        <w:t>Figure 4 — Deployment view.</w:t>
      </w:r>
    </w:p>
    <w:p>
      <w:r>
        <w:drawing xmlns:a="http://schemas.openxmlformats.org/drawingml/2006/main">
          <wp:inline>
            <wp:extent cx="8000000" cy="650000"/>
            <wp:docPr id="99" name="Diagram"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000000" cy="650000"/>
                      <a:chOff x="0" y="0"/>
                      <a:chExt cx="8000000" cy="650000"/>
                    </a:xfrm>
                  </wpg:grpSpPr>
                  <wps:wsp>
                    <wps:cNvPr id="100" name="Licensing Core"/>
                    <wps:cNvSpPr/>
                    <wps:spPr>
                      <a:xfrm>
                        <a:off x="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Licensing Core</w:t>
                          </w:r>
                        </w:p>
                      </w:txbxContent>
                    </wps:txbx>
                    <wps:bodyPr/>
                  </wps:wsp>
                  <wps:wsp>
                    <wps:cNvPr id="101" name="Licensing DB"/>
                    <wps:cNvSpPr/>
                    <wps:spPr>
                      <a:xfrm>
                        <a:off x="2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Licensing DB</w:t>
                          </w:r>
                        </w:p>
                      </w:txbxContent>
                    </wps:txbx>
                    <wps:bodyPr/>
                  </wps:wsp>
                  <wps:wsp>
                    <wps:cNvPr id="102" name="SRV-ORA-01"/>
                    <wps:cNvSpPr/>
                    <wps:spPr>
                      <a:xfrm>
                        <a:off x="4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SRV-ORA-01</w:t>
                          </w:r>
                        </w:p>
                      </w:txbxContent>
                    </wps:txbx>
                    <wps:bodyPr/>
                  </wps:wsp>
                  <wps:wsp>
                    <wps:cNvPr id="103" name="Riyadh DC"/>
                    <wps:cNvSpPr/>
                    <wps:spPr>
                      <a:xfrm>
                        <a:off x="6000000" y="100000"/>
                        <a:ext cx="1500000" cy="450000"/>
                      </a:xfrm>
                      <a:prstGeom prst="roundRect">
                        <a:avLst/>
                      </a:prstGeom>
                    </wps:spPr>
                    <wps:txbx>
                      <w:txbxContent>
                        <w:p>
                          <w:r>
                            <w:t>Riyadh DC</w:t>
                          </w:r>
                        </w:p>
                      </w:txbxContent>
                    </wps:txbx>
                    <wps:bodyPr/>
                  </wps:wsp>
                  <wps:wsp>
                    <wps:cNvPr id="200" name="Connector 200"/>
                    <wps:cNvCnPr>
                      <a:stCxn id="100" idx="3"/>
                      <a:endCxn id="101" idx="1"/>
                    </wps:cNvCnPr>
                    <wps:spPr>
                      <a:xfrm>
                        <a:off x="1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1" name="Connector 201"/>
                    <wps:cNvCnPr>
                      <a:stCxn id="101" idx="3"/>
                      <a:endCxn id="102" idx="1"/>
                    </wps:cNvCnPr>
                    <wps:spPr>
                      <a:xfrm>
                        <a:off x="3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  <wps:wsp>
                    <wps:cNvPr id="202" name="Connector 202"/>
                    <wps:cNvCnPr>
                      <a:stCxn id="102" idx="3"/>
                      <a:endCxn id="103" idx="1"/>
                    </wps:cNvCnPr>
                    <wps:spPr>
                      <a:xfrm>
                        <a:off x="5500000" y="325000"/>
                        <a:ext cx="500000" cy="0"/>
                      </a:xfrm>
                      <a:prstGeom prst="straightConnector1">
                        <a:avLst/>
                      </a:prstGeom>
                      <a:ln>
                        <a:tailEnd type="triangle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