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Architecture — Licensing Authority</w:t>
      </w:r>
    </w:p>
    <w:p>
      <w:pPr>
        <w:pStyle w:val="Heading1"/>
      </w:pPr>
      <w:r>
        <w:t>1. Data Classification Policy</w:t>
      </w:r>
    </w:p>
    <w:p>
      <w:r>
        <w:t>Data classified Confidential must be stored within the Kingdom and encrypted at rest. Any transfer of Confidential data outside the Kingdom requires a documented transfer basis.</w:t>
      </w:r>
    </w:p>
    <w:p>
      <w:pPr>
        <w:pStyle w:val="Heading1"/>
      </w:pPr>
      <w:r>
        <w:t>2. Applicable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Framework</w:t>
            </w:r>
          </w:p>
        </w:tc>
        <w:tc>
          <w:tcPr>
            <w:tcW w:type="dxa" w:w="2160"/>
          </w:tcPr>
          <w:p>
            <w:r>
              <w:t>Applies To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ECC-2-3 Data protection</w:t>
            </w:r>
          </w:p>
        </w:tc>
        <w:tc>
          <w:tcPr>
            <w:tcW w:type="dxa" w:w="2160"/>
          </w:tcPr>
          <w:p>
            <w:r>
              <w:t>NCA ECC</w:t>
            </w:r>
          </w:p>
        </w:tc>
        <w:tc>
          <w:tcPr>
            <w:tcW w:type="dxa" w:w="2160"/>
          </w:tcPr>
          <w:p>
            <w:r>
              <w:t>Systems holding Confidential data</w:t>
            </w:r>
          </w:p>
        </w:tc>
        <w:tc>
          <w:tcPr>
            <w:tcW w:type="dxa" w:w="2160"/>
          </w:tcPr>
          <w:p>
            <w:r>
              <w:t>Partially implemented</w:t>
            </w:r>
          </w:p>
        </w:tc>
      </w:tr>
      <w:tr>
        <w:tc>
          <w:tcPr>
            <w:tcW w:type="dxa" w:w="2160"/>
          </w:tcPr>
          <w:p>
            <w:r>
              <w:t>ECC-2-5 Identity and access</w:t>
            </w:r>
          </w:p>
        </w:tc>
        <w:tc>
          <w:tcPr>
            <w:tcW w:type="dxa" w:w="2160"/>
          </w:tcPr>
          <w:p>
            <w:r>
              <w:t>NCA ECC</w:t>
            </w:r>
          </w:p>
        </w:tc>
        <w:tc>
          <w:tcPr>
            <w:tcW w:type="dxa" w:w="2160"/>
          </w:tcPr>
          <w:p>
            <w:r>
              <w:t>All applications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PDPL Art. 29 Cross-border transfer</w:t>
            </w:r>
          </w:p>
        </w:tc>
        <w:tc>
          <w:tcPr>
            <w:tcW w:type="dxa" w:w="2160"/>
          </w:tcPr>
          <w:p>
            <w:r>
              <w:t>PDPL</w:t>
            </w:r>
          </w:p>
        </w:tc>
        <w:tc>
          <w:tcPr>
            <w:tcW w:type="dxa" w:w="2160"/>
          </w:tcPr>
          <w:p>
            <w:r>
              <w:t>Any transfer of personal data abroad</w:t>
            </w:r>
          </w:p>
        </w:tc>
        <w:tc>
          <w:tcPr>
            <w:tcW w:type="dxa" w:w="2160"/>
          </w:tcPr>
          <w:p>
            <w:r>
              <w:t>Not assessed</w:t>
            </w:r>
          </w:p>
        </w:tc>
      </w:tr>
    </w:tbl>
    <w:p>
      <w:pPr>
        <w:pStyle w:val="Heading1"/>
      </w:pPr>
      <w:r>
        <w:t>3. Control Mapping</w:t>
      </w:r>
    </w:p>
    <w:p>
      <w:r>
        <w:t>The Identity Service addresses ECC-2-5 for the Customer Portal and Licensing Core. Licensing DB holds the Applicant Record and therefore falls under ECC-2-3. The SMS Gateway transmits applicant mobile numbers to Vendor Y's infrastructure abroad; this transfer has not been assessed against PDPL Article 29.</w:t>
      </w:r>
    </w:p>
    <w:p>
      <w:pPr>
        <w:pStyle w:val="Heading1"/>
      </w:pPr>
      <w:r>
        <w:t>4. Control Coverage</w:t>
      </w:r>
    </w:p>
    <w:p>
      <w:r>
        <w:t>Figure 5 — Control coverage.</w:t>
      </w:r>
    </w:p>
    <w:p>
      <w:r>
        <w:drawing xmlns:a="http://schemas.openxmlformats.org/drawingml/2006/main">
          <wp:inline>
            <wp:extent cx="6000000" cy="650000"/>
            <wp:docPr id="99" name="Diagram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00000" cy="650000"/>
                      <a:chOff x="0" y="0"/>
                      <a:chExt cx="6000000" cy="650000"/>
                    </a:xfrm>
                  </wpg:grpSpPr>
                  <wps:wsp>
                    <wps:cNvPr id="100" name="Identity Service"/>
                    <wps:cNvSpPr/>
                    <wps:spPr>
                      <a:xfrm>
                        <a:off x="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Identity Service</w:t>
                          </w:r>
                        </w:p>
                      </w:txbxContent>
                    </wps:txbx>
                    <wps:bodyPr/>
                  </wps:wsp>
                  <wps:wsp>
                    <wps:cNvPr id="101" name="ECC-2-5"/>
                    <wps:cNvSpPr/>
                    <wps:spPr>
                      <a:xfrm>
                        <a:off x="200000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ECC-2-5</w:t>
                          </w:r>
                        </w:p>
                      </w:txbxContent>
                    </wps:txbx>
                    <wps:bodyPr/>
                  </wps:wsp>
                  <wps:wsp>
                    <wps:cNvPr id="102" name="Customer Portal"/>
                    <wps:cNvSpPr/>
                    <wps:spPr>
                      <a:xfrm>
                        <a:off x="400000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Customer Portal</w:t>
                          </w:r>
                        </w:p>
                      </w:txbxContent>
                    </wps:txbx>
                    <wps:bodyPr/>
                  </wps:wsp>
                  <wps:wsp>
                    <wps:cNvPr id="200" name="Connector 200"/>
                    <wps:cNvCnPr>
                      <a:stCxn id="100" idx="3"/>
                      <a:endCxn id="101" idx="1"/>
                    </wps:cNvCnPr>
                    <wps:spPr>
                      <a:xfrm>
                        <a:off x="1500000" y="325000"/>
                        <a:ext cx="500000" cy="0"/>
                      </a:xfrm>
                      <a:prstGeom prst="straightConnector1">
                        <a:avLst/>
                      </a:prstGeom>
                      <a:ln>
                        <a:tailEnd type="triangle"/>
                      </a:ln>
                    </wps:spPr>
                    <wps:bodyPr/>
                  </wps:wsp>
                  <wps:wsp>
                    <wps:cNvPr id="201" name="Connector 201"/>
                    <wps:cNvCnPr>
                      <a:stCxn id="102" idx="3"/>
                      <a:endCxn id="100" idx="1"/>
                    </wps:cNvCnPr>
                    <wps:spPr>
                      <a:xfrm>
                        <a:off x="5500000" y="325000"/>
                        <a:ext cx="500000" cy="0"/>
                      </a:xfrm>
                      <a:prstGeom prst="straightConnector1">
                        <a:avLst/>
                      </a:prstGeom>
                      <a:ln>
                        <a:tailEnd type="triangle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