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 Gap Analysis — Licensing Authority</w:t>
      </w:r>
    </w:p>
    <w:p>
      <w:pPr>
        <w:pStyle w:val="Heading1"/>
      </w:pPr>
      <w:r>
        <w:t>1. Current vs Target</w:t>
      </w:r>
    </w:p>
    <w:p>
      <w:r>
        <w:t>The target architecture (horizon 2027) replaces the SMS Gateway with an in-Kingdom provider, assigns an owner to the Document Management System, and retires the legacy Fee Collection module in favour of the Payment Gateway.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Target 2027</w:t>
            </w:r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SMS Gateway</w:t>
            </w:r>
          </w:p>
        </w:tc>
        <w:tc>
          <w:tcPr>
            <w:tcW w:type="dxa" w:w="2160"/>
          </w:tcPr>
          <w:p>
            <w:r>
              <w:t>Vendor Y, hosted abroad</w:t>
            </w:r>
          </w:p>
        </w:tc>
        <w:tc>
          <w:tcPr>
            <w:tcW w:type="dxa" w:w="2160"/>
          </w:tcPr>
          <w:p>
            <w:r>
              <w:t>Vendor Z, in-Kingdom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</w:tr>
      <w:tr>
        <w:tc>
          <w:tcPr>
            <w:tcW w:type="dxa" w:w="2160"/>
          </w:tcPr>
          <w:p>
            <w:r>
              <w:t>Document Management System</w:t>
            </w:r>
          </w:p>
        </w:tc>
        <w:tc>
          <w:tcPr>
            <w:tcW w:type="dxa" w:w="2160"/>
          </w:tcPr>
          <w:p>
            <w:r>
              <w:t>No owner assigned</w:t>
            </w:r>
          </w:p>
        </w:tc>
        <w:tc>
          <w:tcPr>
            <w:tcW w:type="dxa" w:w="2160"/>
          </w:tcPr>
          <w:p>
            <w:r>
              <w:t>Owned by Licensing Department</w:t>
            </w:r>
          </w:p>
        </w:tc>
        <w:tc>
          <w:tcPr>
            <w:tcW w:type="dxa" w:w="2160"/>
          </w:tcPr>
          <w:p>
            <w:r>
              <w:t>Assign owner</w:t>
            </w:r>
          </w:p>
        </w:tc>
      </w:tr>
      <w:tr>
        <w:tc>
          <w:tcPr>
            <w:tcW w:type="dxa" w:w="2160"/>
          </w:tcPr>
          <w:p>
            <w:r>
              <w:t>Fee Collection module</w:t>
            </w:r>
          </w:p>
        </w:tc>
        <w:tc>
          <w:tcPr>
            <w:tcW w:type="dxa" w:w="2160"/>
          </w:tcPr>
          <w:p>
            <w:r>
              <w:t>Legacy, parallel to Payment Gateway</w:t>
            </w:r>
          </w:p>
        </w:tc>
        <w:tc>
          <w:tcPr>
            <w:tcW w:type="dxa" w:w="2160"/>
          </w:tcPr>
          <w:p>
            <w:r>
              <w:t>Retired</w:t>
            </w:r>
          </w:p>
        </w:tc>
        <w:tc>
          <w:tcPr>
            <w:tcW w:type="dxa" w:w="2160"/>
          </w:tcPr>
          <w:p>
            <w:r>
              <w:t>Retire</w:t>
            </w:r>
          </w:p>
        </w:tc>
      </w:tr>
      <w:tr>
        <w:tc>
          <w:tcPr>
            <w:tcW w:type="dxa" w:w="2160"/>
          </w:tcPr>
          <w:p>
            <w:r>
              <w:t>National Address Registry</w:t>
            </w:r>
          </w:p>
        </w:tc>
        <w:tc>
          <w:tcPr>
            <w:tcW w:type="dxa" w:w="2160"/>
          </w:tcPr>
          <w:p>
            <w:r>
              <w:t>No integration</w:t>
            </w:r>
          </w:p>
        </w:tc>
        <w:tc>
          <w:tcPr>
            <w:tcW w:type="dxa" w:w="2160"/>
          </w:tcPr>
          <w:p>
            <w:r>
              <w:t>Integrated with Licensing Core</w:t>
            </w:r>
          </w:p>
        </w:tc>
        <w:tc>
          <w:tcPr>
            <w:tcW w:type="dxa" w:w="2160"/>
          </w:tcPr>
          <w:p>
            <w:r>
              <w:t>Build</w:t>
            </w:r>
          </w:p>
        </w:tc>
      </w:tr>
    </w:tbl>
    <w:p>
      <w:pPr>
        <w:pStyle w:val="Heading1"/>
      </w:pPr>
      <w:r>
        <w:t>2. Findings</w:t>
      </w:r>
    </w:p>
    <w:p>
      <w:r>
        <w:t>F-01 (High): Confidential applicant data reaches infrastructure outside the Kingdom via the SMS Gateway, with no assessed transfer basis.</w:t>
      </w:r>
    </w:p>
    <w:p>
      <w:r>
        <w:t>F-02 (Medium): The Document Management System has no accountable owner.</w:t>
      </w:r>
    </w:p>
    <w:p>
      <w:r>
        <w:t>F-03 (Low): Two systems perform fee collection.</w:t>
      </w:r>
    </w:p>
    <w:p>
      <w:pPr>
        <w:pStyle w:val="Heading1"/>
      </w:pPr>
      <w:r>
        <w:t>3. Transition Roadmap</w:t>
      </w:r>
    </w:p>
    <w:p>
      <w:r>
        <w:t>Figure 6 — Transition sequence.</w:t>
      </w:r>
    </w:p>
    <w:p>
      <w:r>
        <w:drawing xmlns:a="http://schemas.openxmlformats.org/drawingml/2006/main">
          <wp:inline>
            <wp:extent cx="6000000" cy="650000"/>
            <wp:docPr id="99" name="Diagra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00000" cy="650000"/>
                      <a:chOff x="0" y="0"/>
                      <a:chExt cx="6000000" cy="650000"/>
                    </a:xfrm>
                  </wpg:grpSpPr>
                  <wps:wsp>
                    <wps:cNvPr id="100" name="Replace SMS Gateway"/>
                    <wps:cNvSpPr/>
                    <wps:spPr>
                      <a:xfrm>
                        <a:off x="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Replace SMS Gateway</w:t>
                          </w:r>
                        </w:p>
                      </w:txbxContent>
                    </wps:txbx>
                    <wps:bodyPr/>
                  </wps:wsp>
                  <wps:wsp>
                    <wps:cNvPr id="101" name="Assign DMS owner"/>
                    <wps:cNvSpPr/>
                    <wps:spPr>
                      <a:xfrm>
                        <a:off x="2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Assign DMS owner</w:t>
                          </w:r>
                        </w:p>
                      </w:txbxContent>
                    </wps:txbx>
                    <wps:bodyPr/>
                  </wps:wsp>
                  <wps:wsp>
                    <wps:cNvPr id="102" name="Retire Fee Collection"/>
                    <wps:cNvSpPr/>
                    <wps:spPr>
                      <a:xfrm>
                        <a:off x="4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Retire Fee Collection</w:t>
                          </w:r>
                        </w:p>
                      </w:txbxContent>
                    </wps:txbx>
                    <wps:bodyPr/>
                  </wps:wsp>
                  <wps:wsp>
                    <wps:cNvPr id="200" name="Connector 200"/>
                    <wps:cNvCnPr>
                      <a:stCxn id="100" idx="3"/>
                      <a:endCxn id="101" idx="1"/>
                    </wps:cNvCnPr>
                    <wps:spPr>
                      <a:xfrm>
                        <a:off x="1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  <wps:wsp>
                    <wps:cNvPr id="201" name="Connector 201"/>
                    <wps:cNvCnPr>
                      <a:stCxn id="101" idx="3"/>
                      <a:endCxn id="102" idx="1"/>
                    </wps:cNvCnPr>
                    <wps:spPr>
                      <a:xfrm>
                        <a:off x="3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