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i w:val="0"/>
          <w:color w:val="9A9CCB"/>
          <w:sz w:val="18"/>
        </w:rPr>
        <w:t>IMPLEMENTATION HANDOFF</w:t>
      </w:r>
    </w:p>
    <w:p>
      <w:pPr>
        <w:spacing w:after="100"/>
      </w:pPr>
      <w:r>
        <w:rPr>
          <w:rFonts w:ascii="Calibri" w:hAnsi="Calibri"/>
          <w:b/>
          <w:i w:val="0"/>
          <w:color w:val="3B3F6E"/>
          <w:sz w:val="50"/>
        </w:rPr>
        <w:t>Frontend Blockers Resolution</w:t>
      </w:r>
    </w:p>
    <w:p>
      <w:pPr>
        <w:spacing w:after="280"/>
      </w:pPr>
      <w:r>
        <w:rPr>
          <w:rFonts w:ascii="Calibri" w:hAnsi="Calibri"/>
          <w:b w:val="0"/>
          <w:i w:val="0"/>
          <w:color w:val="66666D"/>
          <w:sz w:val="25"/>
        </w:rPr>
        <w:t>Backend changes, API contracts, seeded test data, and verification record</w:t>
      </w:r>
    </w:p>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shd w:fill="EDE8DC"/>
            <w:tcMar>
              <w:top w:w="90" w:type="dxa"/>
              <w:start w:w="120" w:type="dxa"/>
              <w:bottom w:w="90" w:type="dxa"/>
              <w:end w:w="120" w:type="dxa"/>
            </w:tcMar>
            <w:vAlign w:val="center"/>
          </w:tcPr>
          <w:p>
            <w:r>
              <w:rPr>
                <w:rFonts w:ascii="Calibri" w:hAnsi="Calibri"/>
                <w:b/>
                <w:i w:val="0"/>
                <w:color w:val="3B3F6E"/>
                <w:sz w:val="18"/>
              </w:rPr>
              <w:t>Repository</w:t>
            </w:r>
          </w:p>
        </w:tc>
        <w:tc>
          <w:tcPr>
            <w:tcW w:type="dxa" w:w="7160"/>
            <w:shd w:fill="EDE8DC"/>
            <w:tcMar>
              <w:top w:w="90" w:type="dxa"/>
              <w:start w:w="120" w:type="dxa"/>
              <w:bottom w:w="90" w:type="dxa"/>
              <w:end w:w="120" w:type="dxa"/>
            </w:tcMar>
            <w:vAlign w:val="center"/>
          </w:tcPr>
          <w:p>
            <w:r>
              <w:rPr>
                <w:rFonts w:ascii="Calibri" w:hAnsi="Calibri"/>
                <w:b w:val="0"/>
                <w:i w:val="0"/>
                <w:color w:val="2B2B2F"/>
                <w:sz w:val="18"/>
              </w:rPr>
              <w:t>teslimsadiqnevo/nevo-backend-2.0</w:t>
            </w:r>
          </w:p>
        </w:tc>
      </w:tr>
      <w:tr>
        <w:trPr>
          <w:cantSplit/>
        </w:trPr>
        <w:tc>
          <w:tcPr>
            <w:tcW w:type="dxa" w:w="2200"/>
            <w:shd w:fill="F7F1E6"/>
            <w:tcMar>
              <w:top w:w="90" w:type="dxa"/>
              <w:start w:w="120" w:type="dxa"/>
              <w:bottom w:w="90" w:type="dxa"/>
              <w:end w:w="120" w:type="dxa"/>
            </w:tcMar>
            <w:vAlign w:val="center"/>
          </w:tcPr>
          <w:p>
            <w:r>
              <w:rPr>
                <w:rFonts w:ascii="Calibri" w:hAnsi="Calibri"/>
                <w:b/>
                <w:i w:val="0"/>
                <w:color w:val="3B3F6E"/>
                <w:sz w:val="18"/>
              </w:rPr>
              <w:t>Branch</w:t>
            </w:r>
          </w:p>
        </w:tc>
        <w:tc>
          <w:tcPr>
            <w:tcW w:type="dxa" w:w="7160"/>
            <w:shd w:fill="F7F1E6"/>
            <w:tcMar>
              <w:top w:w="90" w:type="dxa"/>
              <w:start w:w="120" w:type="dxa"/>
              <w:bottom w:w="90" w:type="dxa"/>
              <w:end w:w="120" w:type="dxa"/>
            </w:tcMar>
            <w:vAlign w:val="center"/>
          </w:tcPr>
          <w:p>
            <w:r>
              <w:rPr>
                <w:rFonts w:ascii="Calibri" w:hAnsi="Calibri"/>
                <w:b w:val="0"/>
                <w:i w:val="0"/>
                <w:color w:val="2B2B2F"/>
                <w:sz w:val="18"/>
              </w:rPr>
              <w:t>main</w:t>
            </w:r>
          </w:p>
        </w:tc>
      </w:tr>
      <w:tr>
        <w:trPr>
          <w:cantSplit/>
        </w:trPr>
        <w:tc>
          <w:tcPr>
            <w:tcW w:type="dxa" w:w="2200"/>
            <w:shd w:fill="EDE8DC"/>
            <w:tcMar>
              <w:top w:w="90" w:type="dxa"/>
              <w:start w:w="120" w:type="dxa"/>
              <w:bottom w:w="90" w:type="dxa"/>
              <w:end w:w="120" w:type="dxa"/>
            </w:tcMar>
            <w:vAlign w:val="center"/>
          </w:tcPr>
          <w:p>
            <w:r>
              <w:rPr>
                <w:rFonts w:ascii="Calibri" w:hAnsi="Calibri"/>
                <w:b/>
                <w:i w:val="0"/>
                <w:color w:val="3B3F6E"/>
                <w:sz w:val="18"/>
              </w:rPr>
              <w:t>Release commit</w:t>
            </w:r>
          </w:p>
        </w:tc>
        <w:tc>
          <w:tcPr>
            <w:tcW w:type="dxa" w:w="7160"/>
            <w:shd w:fill="EDE8DC"/>
            <w:tcMar>
              <w:top w:w="90" w:type="dxa"/>
              <w:start w:w="120" w:type="dxa"/>
              <w:bottom w:w="90" w:type="dxa"/>
              <w:end w:w="120" w:type="dxa"/>
            </w:tcMar>
            <w:vAlign w:val="center"/>
          </w:tcPr>
          <w:p>
            <w:r>
              <w:rPr>
                <w:rFonts w:ascii="Calibri" w:hAnsi="Calibri"/>
                <w:b w:val="0"/>
                <w:i w:val="0"/>
                <w:color w:val="2B2B2F"/>
                <w:sz w:val="18"/>
              </w:rPr>
              <w:t>714861e - feat: resolve frontend integration blockers</w:t>
            </w:r>
          </w:p>
        </w:tc>
      </w:tr>
      <w:tr>
        <w:trPr>
          <w:cantSplit/>
        </w:trPr>
        <w:tc>
          <w:tcPr>
            <w:tcW w:type="dxa" w:w="2200"/>
            <w:shd w:fill="F7F1E6"/>
            <w:tcMar>
              <w:top w:w="90" w:type="dxa"/>
              <w:start w:w="120" w:type="dxa"/>
              <w:bottom w:w="90" w:type="dxa"/>
              <w:end w:w="120" w:type="dxa"/>
            </w:tcMar>
            <w:vAlign w:val="center"/>
          </w:tcPr>
          <w:p>
            <w:r>
              <w:rPr>
                <w:rFonts w:ascii="Calibri" w:hAnsi="Calibri"/>
                <w:b/>
                <w:i w:val="0"/>
                <w:color w:val="3B3F6E"/>
                <w:sz w:val="18"/>
              </w:rPr>
              <w:t>Migration</w:t>
            </w:r>
          </w:p>
        </w:tc>
        <w:tc>
          <w:tcPr>
            <w:tcW w:type="dxa" w:w="7160"/>
            <w:shd w:fill="F7F1E6"/>
            <w:tcMar>
              <w:top w:w="90" w:type="dxa"/>
              <w:start w:w="120" w:type="dxa"/>
              <w:bottom w:w="90" w:type="dxa"/>
              <w:end w:w="120" w:type="dxa"/>
            </w:tcMar>
            <w:vAlign w:val="center"/>
          </w:tcPr>
          <w:p>
            <w:r>
              <w:rPr>
                <w:rFonts w:ascii="Calibri" w:hAnsi="Calibri"/>
                <w:b w:val="0"/>
                <w:i w:val="0"/>
                <w:color w:val="2B2B2F"/>
                <w:sz w:val="18"/>
              </w:rPr>
              <w:t>20260828_0028_frontend_unblockers (applied)</w:t>
            </w:r>
          </w:p>
        </w:tc>
      </w:tr>
      <w:tr>
        <w:trPr>
          <w:cantSplit/>
        </w:trPr>
        <w:tc>
          <w:tcPr>
            <w:tcW w:type="dxa" w:w="2200"/>
            <w:shd w:fill="EDE8DC"/>
            <w:tcMar>
              <w:top w:w="90" w:type="dxa"/>
              <w:start w:w="120" w:type="dxa"/>
              <w:bottom w:w="90" w:type="dxa"/>
              <w:end w:w="120" w:type="dxa"/>
            </w:tcMar>
            <w:vAlign w:val="center"/>
          </w:tcPr>
          <w:p>
            <w:r>
              <w:rPr>
                <w:rFonts w:ascii="Calibri" w:hAnsi="Calibri"/>
                <w:b/>
                <w:i w:val="0"/>
                <w:color w:val="3B3F6E"/>
                <w:sz w:val="18"/>
              </w:rPr>
              <w:t>Prepared</w:t>
            </w:r>
          </w:p>
        </w:tc>
        <w:tc>
          <w:tcPr>
            <w:tcW w:type="dxa" w:w="7160"/>
            <w:shd w:fill="EDE8DC"/>
            <w:tcMar>
              <w:top w:w="90" w:type="dxa"/>
              <w:start w:w="120" w:type="dxa"/>
              <w:bottom w:w="90" w:type="dxa"/>
              <w:end w:w="120" w:type="dxa"/>
            </w:tcMar>
            <w:vAlign w:val="center"/>
          </w:tcPr>
          <w:p>
            <w:r>
              <w:rPr>
                <w:rFonts w:ascii="Calibri" w:hAnsi="Calibri"/>
                <w:b w:val="0"/>
                <w:i w:val="0"/>
                <w:color w:val="2B2B2F"/>
                <w:sz w:val="18"/>
              </w:rPr>
              <w:t>29 August 2026</w:t>
            </w:r>
          </w:p>
        </w:tc>
      </w:tr>
      <w:tr>
        <w:trPr>
          <w:cantSplit/>
        </w:trPr>
        <w:tc>
          <w:tcPr>
            <w:tcW w:type="dxa" w:w="2200"/>
            <w:shd w:fill="F7F1E6"/>
            <w:tcMar>
              <w:top w:w="90" w:type="dxa"/>
              <w:start w:w="120" w:type="dxa"/>
              <w:bottom w:w="90" w:type="dxa"/>
              <w:end w:w="120" w:type="dxa"/>
            </w:tcMar>
            <w:vAlign w:val="center"/>
          </w:tcPr>
          <w:p>
            <w:r>
              <w:rPr>
                <w:rFonts w:ascii="Calibri" w:hAnsi="Calibri"/>
                <w:b/>
                <w:i w:val="0"/>
                <w:color w:val="3B3F6E"/>
                <w:sz w:val="18"/>
              </w:rPr>
              <w:t>Primary audience</w:t>
            </w:r>
          </w:p>
        </w:tc>
        <w:tc>
          <w:tcPr>
            <w:tcW w:type="dxa" w:w="7160"/>
            <w:shd w:fill="F7F1E6"/>
            <w:tcMar>
              <w:top w:w="90" w:type="dxa"/>
              <w:start w:w="120" w:type="dxa"/>
              <w:bottom w:w="90" w:type="dxa"/>
              <w:end w:w="120" w:type="dxa"/>
            </w:tcMar>
            <w:vAlign w:val="center"/>
          </w:tcPr>
          <w:p>
            <w:r>
              <w:rPr>
                <w:rFonts w:ascii="Calibri" w:hAnsi="Calibri"/>
                <w:b w:val="0"/>
                <w:i w:val="0"/>
                <w:color w:val="2B2B2F"/>
                <w:sz w:val="18"/>
              </w:rPr>
              <w:t>Frontend engineering, QA, and deployment owners</w:t>
            </w:r>
          </w:p>
        </w:tc>
      </w:tr>
    </w:tbl>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vAlign w:val="center"/>
            <w:shd w:fill="3B3F6E"/>
          </w:tcPr>
          <w:p>
            <w:r>
              <w:rPr>
                <w:rFonts w:ascii="Calibri" w:hAnsi="Calibri"/>
                <w:b/>
                <w:i w:val="0"/>
                <w:color w:val="F7F1E6"/>
                <w:sz w:val="20"/>
              </w:rPr>
              <w:t>Outcome</w:t>
            </w:r>
          </w:p>
          <w:p>
            <w:r>
              <w:rPr>
                <w:rFonts w:ascii="Calibri" w:hAnsi="Calibri"/>
                <w:b w:val="0"/>
                <w:i w:val="0"/>
                <w:color w:val="F7F1E6"/>
                <w:sz w:val="21"/>
              </w:rPr>
              <w:t>All backend items identified in blockers.pdf now have an available route, data contract, persistence layer, safe fallback, or seeded test fixture. The live read and write paths were exercised against Supabase before handoff.</w:t>
            </w:r>
          </w:p>
        </w:tc>
      </w:tr>
    </w:tbl>
    <w:p>
      <w:pPr>
        <w:pStyle w:val="Heading1"/>
      </w:pPr>
      <w:r>
        <w:t>1. Resolution Summary</w:t>
      </w:r>
    </w:p>
    <w:tbl>
      <w:tblPr>
        <w:tblW w:type="dxa" w:w="9360"/>
        <w:jc w:val="left"/>
        <w:tblLayout w:type="fixed"/>
        <w:tblLook w:firstColumn="1" w:firstRow="1" w:lastColumn="0" w:lastRow="0" w:noHBand="0" w:noVBand="1" w:val="04A0"/>
        <w:tblInd w:w="120" w:type="dxa"/>
      </w:tblPr>
      <w:tblGrid>
        <w:gridCol w:w="1050"/>
        <w:gridCol w:w="8310"/>
      </w:tblGrid>
      <w:tr>
        <w:trPr>
          <w:cantSplit/>
        </w:trPr>
        <w:tc>
          <w:tcPr>
            <w:tcW w:type="dxa" w:w="1050"/>
            <w:tcMar>
              <w:top w:w="90" w:type="dxa"/>
              <w:start w:w="120" w:type="dxa"/>
              <w:bottom w:w="90" w:type="dxa"/>
              <w:end w:w="120" w:type="dxa"/>
            </w:tcMar>
            <w:vAlign w:val="center"/>
            <w:shd w:fill="3B3F6E"/>
          </w:tcPr>
          <w:p>
            <w:pPr>
              <w:jc w:val="center"/>
            </w:pPr>
            <w:r>
              <w:rPr>
                <w:rFonts w:ascii="Calibri" w:hAnsi="Calibri"/>
                <w:b/>
                <w:i w:val="0"/>
                <w:color w:val="F7F1E6"/>
                <w:sz w:val="26"/>
              </w:rPr>
              <w:t>01</w:t>
            </w:r>
          </w:p>
        </w:tc>
        <w:tc>
          <w:tcPr>
            <w:tcW w:type="dxa" w:w="8310"/>
            <w:tcMar>
              <w:top w:w="90" w:type="dxa"/>
              <w:start w:w="120" w:type="dxa"/>
              <w:bottom w:w="90" w:type="dxa"/>
              <w:end w:w="120" w:type="dxa"/>
            </w:tcMar>
            <w:vAlign w:val="center"/>
            <w:shd w:fill="EDE8DC"/>
          </w:tcPr>
          <w:p>
            <w:r>
              <w:rPr>
                <w:rFonts w:ascii="Calibri" w:hAnsi="Calibri"/>
                <w:b/>
                <w:i w:val="0"/>
                <w:color w:val="3B3F6E"/>
                <w:sz w:val="23"/>
              </w:rPr>
              <w:t>Class student roster</w:t>
            </w:r>
          </w:p>
          <w:p>
            <w:pPr>
              <w:spacing w:after="60"/>
            </w:pPr>
            <w:r>
              <w:rPr>
                <w:rFonts w:ascii="Calibri" w:hAnsi="Calibri"/>
                <w:b/>
                <w:i w:val="0"/>
                <w:color w:val="2F6B4F"/>
                <w:sz w:val="17"/>
              </w:rPr>
              <w:t>RESOLVED</w:t>
            </w:r>
          </w:p>
          <w:p>
            <w:r>
              <w:rPr>
                <w:rFonts w:ascii="Calibri" w:hAnsi="Calibri"/>
                <w:b w:val="0"/>
                <w:i w:val="0"/>
                <w:color w:val="2B2B2F"/>
                <w:sz w:val="20"/>
              </w:rPr>
              <w:t>The class detail screen can now load its student roster from the backend.</w:t>
            </w:r>
          </w:p>
          <w:p>
            <w:pPr>
              <w:pStyle w:val="ListBullet"/>
              <w:spacing w:after="40"/>
            </w:pPr>
            <w:r>
              <w:rPr>
                <w:rFonts w:ascii="Calibri" w:hAnsi="Calibri"/>
                <w:b w:val="0"/>
                <w:i w:val="0"/>
                <w:color w:val="2B2B2F"/>
                <w:sz w:val="19"/>
              </w:rPr>
              <w:t>Added GET /api/v1/classes/{class_id}/students.</w:t>
            </w:r>
          </w:p>
          <w:p>
            <w:pPr>
              <w:pStyle w:val="ListBullet"/>
              <w:spacing w:after="40"/>
            </w:pPr>
            <w:r>
              <w:rPr>
                <w:rFonts w:ascii="Calibri" w:hAnsi="Calibri"/>
                <w:b w:val="0"/>
                <w:i w:val="0"/>
                <w:color w:val="2B2B2F"/>
                <w:sz w:val="19"/>
              </w:rPr>
              <w:t>Returns identity, account status, profile status, and latest lesson session time.</w:t>
            </w:r>
          </w:p>
          <w:p>
            <w:pPr>
              <w:pStyle w:val="ListBullet"/>
              <w:spacing w:after="40"/>
            </w:pPr>
            <w:r>
              <w:rPr>
                <w:rFonts w:ascii="Calibri" w:hAnsi="Calibri"/>
                <w:b w:val="0"/>
                <w:i w:val="0"/>
                <w:color w:val="2B2B2F"/>
                <w:sz w:val="19"/>
              </w:rPr>
              <w:t>Checks the teacher's school context before returning class data.</w:t>
            </w:r>
          </w:p>
        </w:tc>
      </w:tr>
    </w:tbl>
    <w:p>
      <w:pPr>
        <w:spacing w:after="20"/>
      </w:pPr>
    </w:p>
    <w:tbl>
      <w:tblPr>
        <w:tblW w:type="dxa" w:w="9360"/>
        <w:jc w:val="left"/>
        <w:tblLayout w:type="fixed"/>
        <w:tblLook w:firstColumn="1" w:firstRow="1" w:lastColumn="0" w:lastRow="0" w:noHBand="0" w:noVBand="1" w:val="04A0"/>
        <w:tblInd w:w="120" w:type="dxa"/>
      </w:tblPr>
      <w:tblGrid>
        <w:gridCol w:w="1050"/>
        <w:gridCol w:w="8310"/>
      </w:tblGrid>
      <w:tr>
        <w:trPr>
          <w:cantSplit/>
        </w:trPr>
        <w:tc>
          <w:tcPr>
            <w:tcW w:type="dxa" w:w="1050"/>
            <w:tcMar>
              <w:top w:w="90" w:type="dxa"/>
              <w:start w:w="120" w:type="dxa"/>
              <w:bottom w:w="90" w:type="dxa"/>
              <w:end w:w="120" w:type="dxa"/>
            </w:tcMar>
            <w:vAlign w:val="center"/>
            <w:shd w:fill="3B3F6E"/>
          </w:tcPr>
          <w:p>
            <w:pPr>
              <w:jc w:val="center"/>
            </w:pPr>
            <w:r>
              <w:rPr>
                <w:rFonts w:ascii="Calibri" w:hAnsi="Calibri"/>
                <w:b/>
                <w:i w:val="0"/>
                <w:color w:val="F7F1E6"/>
                <w:sz w:val="26"/>
              </w:rPr>
              <w:t>02</w:t>
            </w:r>
          </w:p>
        </w:tc>
        <w:tc>
          <w:tcPr>
            <w:tcW w:type="dxa" w:w="8310"/>
            <w:tcMar>
              <w:top w:w="90" w:type="dxa"/>
              <w:start w:w="120" w:type="dxa"/>
              <w:bottom w:w="90" w:type="dxa"/>
              <w:end w:w="120" w:type="dxa"/>
            </w:tcMar>
            <w:vAlign w:val="center"/>
            <w:shd w:fill="EDE8DC"/>
          </w:tcPr>
          <w:p>
            <w:r>
              <w:rPr>
                <w:rFonts w:ascii="Calibri" w:hAnsi="Calibri"/>
                <w:b/>
                <w:i w:val="0"/>
                <w:color w:val="3B3F6E"/>
                <w:sz w:val="23"/>
              </w:rPr>
              <w:t>Concept names in mastery responses</w:t>
            </w:r>
          </w:p>
          <w:p>
            <w:pPr>
              <w:spacing w:after="60"/>
            </w:pPr>
            <w:r>
              <w:rPr>
                <w:rFonts w:ascii="Calibri" w:hAnsi="Calibri"/>
                <w:b/>
                <w:i w:val="0"/>
                <w:color w:val="2F6B4F"/>
                <w:sz w:val="17"/>
              </w:rPr>
              <w:t>RESOLVED</w:t>
            </w:r>
          </w:p>
          <w:p>
            <w:r>
              <w:rPr>
                <w:rFonts w:ascii="Calibri" w:hAnsi="Calibri"/>
                <w:b w:val="0"/>
                <w:i w:val="0"/>
                <w:color w:val="2B2B2F"/>
                <w:sz w:val="20"/>
              </w:rPr>
              <w:t>Mastery responses now include human-readable concept names instead of UUID-only output.</w:t>
            </w:r>
          </w:p>
          <w:p>
            <w:pPr>
              <w:pStyle w:val="ListBullet"/>
              <w:spacing w:after="40"/>
            </w:pPr>
            <w:r>
              <w:rPr>
                <w:rFonts w:ascii="Calibri" w:hAnsi="Calibri"/>
                <w:b w:val="0"/>
                <w:i w:val="0"/>
                <w:color w:val="2B2B2F"/>
                <w:sz w:val="19"/>
              </w:rPr>
              <w:t>Added a concepts reference table and concept lookup endpoints.</w:t>
            </w:r>
          </w:p>
          <w:p>
            <w:pPr>
              <w:pStyle w:val="ListBullet"/>
              <w:spacing w:after="40"/>
            </w:pPr>
            <w:r>
              <w:rPr>
                <w:rFonts w:ascii="Calibri" w:hAnsi="Calibri"/>
                <w:b w:val="0"/>
                <w:i w:val="0"/>
                <w:color w:val="2B2B2F"/>
                <w:sz w:val="19"/>
              </w:rPr>
              <w:t>Student, class, and school mastery aggregation joins concept metadata.</w:t>
            </w:r>
          </w:p>
          <w:p>
            <w:pPr>
              <w:pStyle w:val="ListBullet"/>
              <w:spacing w:after="40"/>
            </w:pPr>
            <w:r>
              <w:rPr>
                <w:rFonts w:ascii="Calibri" w:hAnsi="Calibri"/>
                <w:b w:val="0"/>
                <w:i w:val="0"/>
                <w:color w:val="2B2B2F"/>
                <w:sz w:val="19"/>
              </w:rPr>
              <w:t>A deterministic fallback label remains available for legacy rows without metadata.</w:t>
            </w:r>
          </w:p>
        </w:tc>
      </w:tr>
    </w:tbl>
    <w:p>
      <w:pPr>
        <w:spacing w:after="20"/>
      </w:pPr>
    </w:p>
    <w:tbl>
      <w:tblPr>
        <w:tblW w:type="dxa" w:w="9360"/>
        <w:jc w:val="left"/>
        <w:tblLayout w:type="fixed"/>
        <w:tblLook w:firstColumn="1" w:firstRow="1" w:lastColumn="0" w:lastRow="0" w:noHBand="0" w:noVBand="1" w:val="04A0"/>
        <w:tblInd w:w="120" w:type="dxa"/>
      </w:tblPr>
      <w:tblGrid>
        <w:gridCol w:w="1050"/>
        <w:gridCol w:w="8310"/>
      </w:tblGrid>
      <w:tr>
        <w:trPr>
          <w:cantSplit/>
        </w:trPr>
        <w:tc>
          <w:tcPr>
            <w:tcW w:type="dxa" w:w="1050"/>
            <w:tcMar>
              <w:top w:w="90" w:type="dxa"/>
              <w:start w:w="120" w:type="dxa"/>
              <w:bottom w:w="90" w:type="dxa"/>
              <w:end w:w="120" w:type="dxa"/>
            </w:tcMar>
            <w:vAlign w:val="center"/>
            <w:shd w:fill="3B3F6E"/>
          </w:tcPr>
          <w:p>
            <w:pPr>
              <w:jc w:val="center"/>
            </w:pPr>
            <w:r>
              <w:rPr>
                <w:rFonts w:ascii="Calibri" w:hAnsi="Calibri"/>
                <w:b/>
                <w:i w:val="0"/>
                <w:color w:val="F7F1E6"/>
                <w:sz w:val="26"/>
              </w:rPr>
              <w:t>03</w:t>
            </w:r>
          </w:p>
        </w:tc>
        <w:tc>
          <w:tcPr>
            <w:tcW w:type="dxa" w:w="8310"/>
            <w:tcMar>
              <w:top w:w="90" w:type="dxa"/>
              <w:start w:w="120" w:type="dxa"/>
              <w:bottom w:w="90" w:type="dxa"/>
              <w:end w:w="120" w:type="dxa"/>
            </w:tcMar>
            <w:vAlign w:val="center"/>
            <w:shd w:fill="EDE8DC"/>
          </w:tcPr>
          <w:p>
            <w:r>
              <w:rPr>
                <w:rFonts w:ascii="Calibri" w:hAnsi="Calibri"/>
                <w:b/>
                <w:i w:val="0"/>
                <w:color w:val="3B3F6E"/>
                <w:sz w:val="23"/>
              </w:rPr>
              <w:t>Ask Nevo fallback returning the rendered prompt</w:t>
            </w:r>
          </w:p>
          <w:p>
            <w:pPr>
              <w:spacing w:after="60"/>
            </w:pPr>
            <w:r>
              <w:rPr>
                <w:rFonts w:ascii="Calibri" w:hAnsi="Calibri"/>
                <w:b/>
                <w:i w:val="0"/>
                <w:color w:val="2F6B4F"/>
                <w:sz w:val="17"/>
              </w:rPr>
              <w:t>RESOLVED</w:t>
            </w:r>
          </w:p>
          <w:p>
            <w:r>
              <w:rPr>
                <w:rFonts w:ascii="Calibri" w:hAnsi="Calibri"/>
                <w:b w:val="0"/>
                <w:i w:val="0"/>
                <w:color w:val="2B2B2F"/>
                <w:sz w:val="20"/>
              </w:rPr>
              <w:t>A failed AI provider call can no longer echo prompt variables or internal context to the user.</w:t>
            </w:r>
          </w:p>
          <w:p>
            <w:pPr>
              <w:pStyle w:val="ListBullet"/>
              <w:spacing w:after="40"/>
            </w:pPr>
            <w:r>
              <w:rPr>
                <w:rFonts w:ascii="Calibri" w:hAnsi="Calibri"/>
                <w:b w:val="0"/>
                <w:i w:val="0"/>
                <w:color w:val="2B2B2F"/>
                <w:sz w:val="19"/>
              </w:rPr>
              <w:t>Removed user_content from the fallback response source.</w:t>
            </w:r>
          </w:p>
          <w:p>
            <w:pPr>
              <w:pStyle w:val="ListBullet"/>
              <w:spacing w:after="40"/>
            </w:pPr>
            <w:r>
              <w:rPr>
                <w:rFonts w:ascii="Calibri" w:hAnsi="Calibri"/>
                <w:b w:val="0"/>
                <w:i w:val="0"/>
                <w:color w:val="2B2B2F"/>
                <w:sz w:val="19"/>
              </w:rPr>
              <w:t>Ask Nevo now returns a neutral, safe retry message when the provider is unavailable.</w:t>
            </w:r>
          </w:p>
          <w:p>
            <w:pPr>
              <w:pStyle w:val="ListBullet"/>
              <w:spacing w:after="40"/>
            </w:pPr>
            <w:r>
              <w:rPr>
                <w:rFonts w:ascii="Calibri" w:hAnsi="Calibri"/>
                <w:b w:val="0"/>
                <w:i w:val="0"/>
                <w:color w:val="2B2B2F"/>
                <w:sz w:val="19"/>
              </w:rPr>
              <w:t>Added a regression test that rejects prompt headings, context JSON, and internal IDs.</w:t>
            </w:r>
          </w:p>
        </w:tc>
      </w:tr>
    </w:tbl>
    <w:p>
      <w:pPr>
        <w:spacing w:after="20"/>
      </w:pPr>
    </w:p>
    <w:tbl>
      <w:tblPr>
        <w:tblW w:type="dxa" w:w="9360"/>
        <w:jc w:val="left"/>
        <w:tblLayout w:type="fixed"/>
        <w:tblLook w:firstColumn="1" w:firstRow="1" w:lastColumn="0" w:lastRow="0" w:noHBand="0" w:noVBand="1" w:val="04A0"/>
        <w:tblInd w:w="120" w:type="dxa"/>
      </w:tblPr>
      <w:tblGrid>
        <w:gridCol w:w="1050"/>
        <w:gridCol w:w="8310"/>
      </w:tblGrid>
      <w:tr>
        <w:trPr>
          <w:cantSplit/>
        </w:trPr>
        <w:tc>
          <w:tcPr>
            <w:tcW w:type="dxa" w:w="1050"/>
            <w:tcMar>
              <w:top w:w="90" w:type="dxa"/>
              <w:start w:w="120" w:type="dxa"/>
              <w:bottom w:w="90" w:type="dxa"/>
              <w:end w:w="120" w:type="dxa"/>
            </w:tcMar>
            <w:vAlign w:val="center"/>
            <w:shd w:fill="3B3F6E"/>
          </w:tcPr>
          <w:p>
            <w:pPr>
              <w:jc w:val="center"/>
            </w:pPr>
            <w:r>
              <w:rPr>
                <w:rFonts w:ascii="Calibri" w:hAnsi="Calibri"/>
                <w:b/>
                <w:i w:val="0"/>
                <w:color w:val="F7F1E6"/>
                <w:sz w:val="26"/>
              </w:rPr>
              <w:t>04</w:t>
            </w:r>
          </w:p>
        </w:tc>
        <w:tc>
          <w:tcPr>
            <w:tcW w:type="dxa" w:w="8310"/>
            <w:tcMar>
              <w:top w:w="90" w:type="dxa"/>
              <w:start w:w="120" w:type="dxa"/>
              <w:bottom w:w="90" w:type="dxa"/>
              <w:end w:w="120" w:type="dxa"/>
            </w:tcMar>
            <w:vAlign w:val="center"/>
            <w:shd w:fill="EDE8DC"/>
          </w:tcPr>
          <w:p>
            <w:r>
              <w:rPr>
                <w:rFonts w:ascii="Calibri" w:hAnsi="Calibri"/>
                <w:b/>
                <w:i w:val="0"/>
                <w:color w:val="3B3F6E"/>
                <w:sz w:val="23"/>
              </w:rPr>
              <w:t>Server-side lesson file upload</w:t>
            </w:r>
          </w:p>
          <w:p>
            <w:pPr>
              <w:spacing w:after="60"/>
            </w:pPr>
            <w:r>
              <w:rPr>
                <w:rFonts w:ascii="Calibri" w:hAnsi="Calibri"/>
                <w:b/>
                <w:i w:val="0"/>
                <w:color w:val="2F6B4F"/>
                <w:sz w:val="17"/>
              </w:rPr>
              <w:t>RESOLVED</w:t>
            </w:r>
          </w:p>
          <w:p>
            <w:r>
              <w:rPr>
                <w:rFonts w:ascii="Calibri" w:hAnsi="Calibri"/>
                <w:b w:val="0"/>
                <w:i w:val="0"/>
                <w:color w:val="2B2B2F"/>
                <w:sz w:val="20"/>
              </w:rPr>
              <w:t>Teachers can upload source files directly to the parsing pipeline.</w:t>
            </w:r>
          </w:p>
          <w:p>
            <w:pPr>
              <w:pStyle w:val="ListBullet"/>
              <w:spacing w:after="40"/>
            </w:pPr>
            <w:r>
              <w:rPr>
                <w:rFonts w:ascii="Calibri" w:hAnsi="Calibri"/>
                <w:b w:val="0"/>
                <w:i w:val="0"/>
                <w:color w:val="2B2B2F"/>
                <w:sz w:val="19"/>
              </w:rPr>
              <w:t>Added POST /api/content/upload as multipart/form-data.</w:t>
            </w:r>
          </w:p>
          <w:p>
            <w:pPr>
              <w:pStyle w:val="ListBullet"/>
              <w:spacing w:after="40"/>
            </w:pPr>
            <w:r>
              <w:rPr>
                <w:rFonts w:ascii="Calibri" w:hAnsi="Calibri"/>
                <w:b w:val="0"/>
                <w:i w:val="0"/>
                <w:color w:val="2B2B2F"/>
                <w:sz w:val="19"/>
              </w:rPr>
              <w:t>Supports TXT, Markdown, PDF, DOCX, and PPTX extraction.</w:t>
            </w:r>
          </w:p>
          <w:p>
            <w:pPr>
              <w:pStyle w:val="ListBullet"/>
              <w:spacing w:after="40"/>
            </w:pPr>
            <w:r>
              <w:rPr>
                <w:rFonts w:ascii="Calibri" w:hAnsi="Calibri"/>
                <w:b w:val="0"/>
                <w:i w:val="0"/>
                <w:color w:val="2B2B2F"/>
                <w:sz w:val="19"/>
              </w:rPr>
              <w:t>Extracted content enters the existing content parsing service with source metadata.</w:t>
            </w:r>
          </w:p>
        </w:tc>
      </w:tr>
    </w:tbl>
    <w:p>
      <w:pPr>
        <w:spacing w:after="20"/>
      </w:pPr>
    </w:p>
    <w:tbl>
      <w:tblPr>
        <w:tblW w:type="dxa" w:w="9360"/>
        <w:jc w:val="left"/>
        <w:tblLayout w:type="fixed"/>
        <w:tblLook w:firstColumn="1" w:firstRow="1" w:lastColumn="0" w:lastRow="0" w:noHBand="0" w:noVBand="1" w:val="04A0"/>
        <w:tblInd w:w="120" w:type="dxa"/>
      </w:tblPr>
      <w:tblGrid>
        <w:gridCol w:w="1050"/>
        <w:gridCol w:w="8310"/>
      </w:tblGrid>
      <w:tr>
        <w:trPr>
          <w:cantSplit/>
        </w:trPr>
        <w:tc>
          <w:tcPr>
            <w:tcW w:type="dxa" w:w="1050"/>
            <w:tcMar>
              <w:top w:w="90" w:type="dxa"/>
              <w:start w:w="120" w:type="dxa"/>
              <w:bottom w:w="90" w:type="dxa"/>
              <w:end w:w="120" w:type="dxa"/>
            </w:tcMar>
            <w:vAlign w:val="center"/>
            <w:shd w:fill="3B3F6E"/>
          </w:tcPr>
          <w:p>
            <w:pPr>
              <w:jc w:val="center"/>
            </w:pPr>
            <w:r>
              <w:rPr>
                <w:rFonts w:ascii="Calibri" w:hAnsi="Calibri"/>
                <w:b/>
                <w:i w:val="0"/>
                <w:color w:val="F7F1E6"/>
                <w:sz w:val="26"/>
              </w:rPr>
              <w:t>05</w:t>
            </w:r>
          </w:p>
        </w:tc>
        <w:tc>
          <w:tcPr>
            <w:tcW w:type="dxa" w:w="8310"/>
            <w:tcMar>
              <w:top w:w="90" w:type="dxa"/>
              <w:start w:w="120" w:type="dxa"/>
              <w:bottom w:w="90" w:type="dxa"/>
              <w:end w:w="120" w:type="dxa"/>
            </w:tcMar>
            <w:vAlign w:val="center"/>
            <w:shd w:fill="EDE8DC"/>
          </w:tcPr>
          <w:p>
            <w:r>
              <w:rPr>
                <w:rFonts w:ascii="Calibri" w:hAnsi="Calibri"/>
                <w:b/>
                <w:i w:val="0"/>
                <w:color w:val="3B3F6E"/>
                <w:sz w:val="23"/>
              </w:rPr>
              <w:t>Current teacher identity and profile</w:t>
            </w:r>
          </w:p>
          <w:p>
            <w:pPr>
              <w:spacing w:after="60"/>
            </w:pPr>
            <w:r>
              <w:rPr>
                <w:rFonts w:ascii="Calibri" w:hAnsi="Calibri"/>
                <w:b/>
                <w:i w:val="0"/>
                <w:color w:val="2F6B4F"/>
                <w:sz w:val="17"/>
              </w:rPr>
              <w:t>RESOLVED</w:t>
            </w:r>
          </w:p>
          <w:p>
            <w:r>
              <w:rPr>
                <w:rFonts w:ascii="Calibri" w:hAnsi="Calibri"/>
                <w:b w:val="0"/>
                <w:i w:val="0"/>
                <w:color w:val="2B2B2F"/>
                <w:sz w:val="20"/>
              </w:rPr>
              <w:t>The frontend can retrieve the authenticated user's stable identity and school context.</w:t>
            </w:r>
          </w:p>
          <w:p>
            <w:pPr>
              <w:pStyle w:val="ListBullet"/>
              <w:spacing w:after="40"/>
            </w:pPr>
            <w:r>
              <w:rPr>
                <w:rFonts w:ascii="Calibri" w:hAnsi="Calibri"/>
                <w:b w:val="0"/>
                <w:i w:val="0"/>
                <w:color w:val="2B2B2F"/>
                <w:sz w:val="19"/>
              </w:rPr>
              <w:t>Added GET /api/v1/users/me.</w:t>
            </w:r>
          </w:p>
          <w:p>
            <w:pPr>
              <w:pStyle w:val="ListBullet"/>
              <w:spacing w:after="40"/>
            </w:pPr>
            <w:r>
              <w:rPr>
                <w:rFonts w:ascii="Calibri" w:hAnsi="Calibri"/>
                <w:b w:val="0"/>
                <w:i w:val="0"/>
                <w:color w:val="2B2B2F"/>
                <w:sz w:val="19"/>
              </w:rPr>
              <w:t>Returns user ID, role, names, display name, email, school, and subject list.</w:t>
            </w:r>
          </w:p>
          <w:p>
            <w:pPr>
              <w:pStyle w:val="ListBullet"/>
              <w:spacing w:after="40"/>
            </w:pPr>
            <w:r>
              <w:rPr>
                <w:rFonts w:ascii="Calibri" w:hAnsi="Calibri"/>
                <w:b w:val="0"/>
                <w:i w:val="0"/>
                <w:color w:val="2B2B2F"/>
                <w:sz w:val="19"/>
              </w:rPr>
              <w:t>Uses the same Bearer session as the existing authentication endpoints.</w:t>
            </w:r>
          </w:p>
        </w:tc>
      </w:tr>
    </w:tbl>
    <w:p>
      <w:pPr>
        <w:spacing w:after="20"/>
      </w:pPr>
    </w:p>
    <w:tbl>
      <w:tblPr>
        <w:tblW w:type="dxa" w:w="9360"/>
        <w:jc w:val="left"/>
        <w:tblLayout w:type="fixed"/>
        <w:tblLook w:firstColumn="1" w:firstRow="1" w:lastColumn="0" w:lastRow="0" w:noHBand="0" w:noVBand="1" w:val="04A0"/>
        <w:tblInd w:w="120" w:type="dxa"/>
      </w:tblPr>
      <w:tblGrid>
        <w:gridCol w:w="1050"/>
        <w:gridCol w:w="8310"/>
      </w:tblGrid>
      <w:tr>
        <w:trPr>
          <w:cantSplit/>
        </w:trPr>
        <w:tc>
          <w:tcPr>
            <w:tcW w:type="dxa" w:w="1050"/>
            <w:tcMar>
              <w:top w:w="90" w:type="dxa"/>
              <w:start w:w="120" w:type="dxa"/>
              <w:bottom w:w="90" w:type="dxa"/>
              <w:end w:w="120" w:type="dxa"/>
            </w:tcMar>
            <w:vAlign w:val="center"/>
            <w:shd w:fill="3B3F6E"/>
          </w:tcPr>
          <w:p>
            <w:pPr>
              <w:jc w:val="center"/>
            </w:pPr>
            <w:r>
              <w:rPr>
                <w:rFonts w:ascii="Calibri" w:hAnsi="Calibri"/>
                <w:b/>
                <w:i w:val="0"/>
                <w:color w:val="F7F1E6"/>
                <w:sz w:val="26"/>
              </w:rPr>
              <w:t>06</w:t>
            </w:r>
          </w:p>
        </w:tc>
        <w:tc>
          <w:tcPr>
            <w:tcW w:type="dxa" w:w="8310"/>
            <w:tcMar>
              <w:top w:w="90" w:type="dxa"/>
              <w:start w:w="120" w:type="dxa"/>
              <w:bottom w:w="90" w:type="dxa"/>
              <w:end w:w="120" w:type="dxa"/>
            </w:tcMar>
            <w:vAlign w:val="center"/>
            <w:shd w:fill="EDE8DC"/>
          </w:tcPr>
          <w:p>
            <w:r>
              <w:rPr>
                <w:rFonts w:ascii="Calibri" w:hAnsi="Calibri"/>
                <w:b/>
                <w:i w:val="0"/>
                <w:color w:val="3B3F6E"/>
                <w:sz w:val="23"/>
              </w:rPr>
              <w:t>Lesson and block parsing access</w:t>
            </w:r>
          </w:p>
          <w:p>
            <w:pPr>
              <w:spacing w:after="60"/>
            </w:pPr>
            <w:r>
              <w:rPr>
                <w:rFonts w:ascii="Calibri" w:hAnsi="Calibri"/>
                <w:b/>
                <w:i w:val="0"/>
                <w:color w:val="2F6B4F"/>
                <w:sz w:val="17"/>
              </w:rPr>
              <w:t>RESOLVED</w:t>
            </w:r>
          </w:p>
          <w:p>
            <w:r>
              <w:rPr>
                <w:rFonts w:ascii="Calibri" w:hAnsi="Calibri"/>
                <w:b w:val="0"/>
                <w:i w:val="0"/>
                <w:color w:val="2B2B2F"/>
                <w:sz w:val="20"/>
              </w:rPr>
              <w:t>Parsed lesson structures are now retrievable as lesson summaries and segment-level details.</w:t>
            </w:r>
          </w:p>
          <w:p>
            <w:pPr>
              <w:pStyle w:val="ListBullet"/>
              <w:spacing w:after="40"/>
            </w:pPr>
            <w:r>
              <w:rPr>
                <w:rFonts w:ascii="Calibri" w:hAnsi="Calibri"/>
                <w:b w:val="0"/>
                <w:i w:val="0"/>
                <w:color w:val="2B2B2F"/>
                <w:sz w:val="19"/>
              </w:rPr>
              <w:t>Added lesson listing and detail aliases under /api/content and /api/v1.</w:t>
            </w:r>
          </w:p>
          <w:p>
            <w:pPr>
              <w:pStyle w:val="ListBullet"/>
              <w:spacing w:after="40"/>
            </w:pPr>
            <w:r>
              <w:rPr>
                <w:rFonts w:ascii="Calibri" w:hAnsi="Calibri"/>
                <w:b w:val="0"/>
                <w:i w:val="0"/>
                <w:color w:val="2B2B2F"/>
                <w:sz w:val="19"/>
              </w:rPr>
              <w:t>Lesson detail includes ordered segments, modalities, comprehension checkpoints, and review reasons.</w:t>
            </w:r>
          </w:p>
          <w:p>
            <w:pPr>
              <w:pStyle w:val="ListBullet"/>
              <w:spacing w:after="40"/>
            </w:pPr>
            <w:r>
              <w:rPr>
                <w:rFonts w:ascii="Calibri" w:hAnsi="Calibri"/>
                <w:b w:val="0"/>
                <w:i w:val="0"/>
                <w:color w:val="2B2B2F"/>
                <w:sz w:val="19"/>
              </w:rPr>
              <w:t>Large source files still pass through the existing parser's lesson/module/segment boundary pipeline.</w:t>
            </w:r>
          </w:p>
        </w:tc>
      </w:tr>
    </w:tbl>
    <w:p>
      <w:pPr>
        <w:spacing w:after="20"/>
      </w:pPr>
    </w:p>
    <w:tbl>
      <w:tblPr>
        <w:tblW w:type="dxa" w:w="9360"/>
        <w:jc w:val="left"/>
        <w:tblLayout w:type="fixed"/>
        <w:tblLook w:firstColumn="1" w:firstRow="1" w:lastColumn="0" w:lastRow="0" w:noHBand="0" w:noVBand="1" w:val="04A0"/>
        <w:tblInd w:w="120" w:type="dxa"/>
      </w:tblPr>
      <w:tblGrid>
        <w:gridCol w:w="1050"/>
        <w:gridCol w:w="8310"/>
      </w:tblGrid>
      <w:tr>
        <w:trPr>
          <w:cantSplit/>
        </w:trPr>
        <w:tc>
          <w:tcPr>
            <w:tcW w:type="dxa" w:w="1050"/>
            <w:tcMar>
              <w:top w:w="90" w:type="dxa"/>
              <w:start w:w="120" w:type="dxa"/>
              <w:bottom w:w="90" w:type="dxa"/>
              <w:end w:w="120" w:type="dxa"/>
            </w:tcMar>
            <w:vAlign w:val="center"/>
            <w:shd w:fill="3B3F6E"/>
          </w:tcPr>
          <w:p>
            <w:pPr>
              <w:jc w:val="center"/>
            </w:pPr>
            <w:r>
              <w:rPr>
                <w:rFonts w:ascii="Calibri" w:hAnsi="Calibri"/>
                <w:b/>
                <w:i w:val="0"/>
                <w:color w:val="F7F1E6"/>
                <w:sz w:val="26"/>
              </w:rPr>
              <w:t>07</w:t>
            </w:r>
          </w:p>
        </w:tc>
        <w:tc>
          <w:tcPr>
            <w:tcW w:type="dxa" w:w="8310"/>
            <w:tcMar>
              <w:top w:w="90" w:type="dxa"/>
              <w:start w:w="120" w:type="dxa"/>
              <w:bottom w:w="90" w:type="dxa"/>
              <w:end w:w="120" w:type="dxa"/>
            </w:tcMar>
            <w:vAlign w:val="center"/>
            <w:shd w:fill="EDE8DC"/>
          </w:tcPr>
          <w:p>
            <w:r>
              <w:rPr>
                <w:rFonts w:ascii="Calibri" w:hAnsi="Calibri"/>
                <w:b/>
                <w:i w:val="0"/>
                <w:color w:val="3B3F6E"/>
                <w:sz w:val="23"/>
              </w:rPr>
              <w:t>Demo teacher had no classes or usable console data</w:t>
            </w:r>
          </w:p>
          <w:p>
            <w:pPr>
              <w:spacing w:after="60"/>
            </w:pPr>
            <w:r>
              <w:rPr>
                <w:rFonts w:ascii="Calibri" w:hAnsi="Calibri"/>
                <w:b/>
                <w:i w:val="0"/>
                <w:color w:val="2F6B4F"/>
                <w:sz w:val="17"/>
              </w:rPr>
              <w:t>RESOLVED</w:t>
            </w:r>
          </w:p>
          <w:p>
            <w:r>
              <w:rPr>
                <w:rFonts w:ascii="Calibri" w:hAnsi="Calibri"/>
                <w:b w:val="0"/>
                <w:i w:val="0"/>
                <w:color w:val="2B2B2F"/>
                <w:sz w:val="20"/>
              </w:rPr>
              <w:t>An idempotent seed now creates a complete shared-school console scenario.</w:t>
            </w:r>
          </w:p>
          <w:p>
            <w:pPr>
              <w:pStyle w:val="ListBullet"/>
              <w:spacing w:after="40"/>
            </w:pPr>
            <w:r>
              <w:rPr>
                <w:rFonts w:ascii="Calibri" w:hAnsi="Calibri"/>
                <w:b w:val="0"/>
                <w:i w:val="0"/>
                <w:color w:val="2B2B2F"/>
                <w:sz w:val="19"/>
              </w:rPr>
              <w:t>Teacher and admin are linked to Nevo Demo School and JSS 2A.</w:t>
            </w:r>
          </w:p>
          <w:p>
            <w:pPr>
              <w:pStyle w:val="ListBullet"/>
              <w:spacing w:after="40"/>
            </w:pPr>
            <w:r>
              <w:rPr>
                <w:rFonts w:ascii="Calibri" w:hAnsi="Calibri"/>
                <w:b w:val="0"/>
                <w:i w:val="0"/>
                <w:color w:val="2B2B2F"/>
                <w:sz w:val="19"/>
              </w:rPr>
              <w:t>Three students, enrollments, lesson content, concepts, mastery, scheduler, scaffold, and session data are seeded.</w:t>
            </w:r>
          </w:p>
          <w:p>
            <w:pPr>
              <w:pStyle w:val="ListBullet"/>
              <w:spacing w:after="40"/>
            </w:pPr>
            <w:r>
              <w:rPr>
                <w:rFonts w:ascii="Calibri" w:hAnsi="Calibri"/>
                <w:b w:val="0"/>
                <w:i w:val="0"/>
                <w:color w:val="2B2B2F"/>
                <w:sz w:val="19"/>
              </w:rPr>
              <w:t>Messages, notifications, and lesson assignments are included for realistic screen testing.</w:t>
            </w:r>
          </w:p>
          <w:p>
            <w:pPr>
              <w:pStyle w:val="ListBullet"/>
              <w:spacing w:after="40"/>
            </w:pPr>
            <w:r>
              <w:rPr>
                <w:rFonts w:ascii="Calibri" w:hAnsi="Calibri"/>
                <w:b w:val="0"/>
                <w:i w:val="0"/>
                <w:color w:val="2B2B2F"/>
                <w:sz w:val="19"/>
              </w:rPr>
              <w:t>Credentials can be reset through environment variables and are never committed to source.</w:t>
            </w:r>
          </w:p>
        </w:tc>
      </w:tr>
    </w:tbl>
    <w:p>
      <w:pPr>
        <w:spacing w:after="20"/>
      </w:pPr>
    </w:p>
    <w:tbl>
      <w:tblPr>
        <w:tblW w:type="dxa" w:w="9360"/>
        <w:jc w:val="left"/>
        <w:tblLayout w:type="fixed"/>
        <w:tblLook w:firstColumn="1" w:firstRow="1" w:lastColumn="0" w:lastRow="0" w:noHBand="0" w:noVBand="1" w:val="04A0"/>
        <w:tblInd w:w="120" w:type="dxa"/>
      </w:tblPr>
      <w:tblGrid>
        <w:gridCol w:w="1050"/>
        <w:gridCol w:w="8310"/>
      </w:tblGrid>
      <w:tr>
        <w:trPr>
          <w:cantSplit/>
        </w:trPr>
        <w:tc>
          <w:tcPr>
            <w:tcW w:type="dxa" w:w="1050"/>
            <w:tcMar>
              <w:top w:w="90" w:type="dxa"/>
              <w:start w:w="120" w:type="dxa"/>
              <w:bottom w:w="90" w:type="dxa"/>
              <w:end w:w="120" w:type="dxa"/>
            </w:tcMar>
            <w:vAlign w:val="center"/>
            <w:shd w:fill="3B3F6E"/>
          </w:tcPr>
          <w:p>
            <w:pPr>
              <w:jc w:val="center"/>
            </w:pPr>
            <w:r>
              <w:rPr>
                <w:rFonts w:ascii="Calibri" w:hAnsi="Calibri"/>
                <w:b/>
                <w:i w:val="0"/>
                <w:color w:val="F7F1E6"/>
                <w:sz w:val="26"/>
              </w:rPr>
              <w:t>08</w:t>
            </w:r>
          </w:p>
        </w:tc>
        <w:tc>
          <w:tcPr>
            <w:tcW w:type="dxa" w:w="8310"/>
            <w:tcMar>
              <w:top w:w="90" w:type="dxa"/>
              <w:start w:w="120" w:type="dxa"/>
              <w:bottom w:w="90" w:type="dxa"/>
              <w:end w:w="120" w:type="dxa"/>
            </w:tcMar>
            <w:vAlign w:val="center"/>
            <w:shd w:fill="EDE8DC"/>
          </w:tcPr>
          <w:p>
            <w:r>
              <w:rPr>
                <w:rFonts w:ascii="Calibri" w:hAnsi="Calibri"/>
                <w:b/>
                <w:i w:val="0"/>
                <w:color w:val="3B3F6E"/>
                <w:sz w:val="23"/>
              </w:rPr>
              <w:t>Missing frontend service domains</w:t>
            </w:r>
          </w:p>
          <w:p>
            <w:pPr>
              <w:spacing w:after="60"/>
            </w:pPr>
            <w:r>
              <w:rPr>
                <w:rFonts w:ascii="Calibri" w:hAnsi="Calibri"/>
                <w:b/>
                <w:i w:val="0"/>
                <w:color w:val="2F6B4F"/>
                <w:sz w:val="17"/>
              </w:rPr>
              <w:t>RESOLVED</w:t>
            </w:r>
          </w:p>
          <w:p>
            <w:r>
              <w:rPr>
                <w:rFonts w:ascii="Calibri" w:hAnsi="Calibri"/>
                <w:b w:val="0"/>
                <w:i w:val="0"/>
                <w:color w:val="2B2B2F"/>
                <w:sz w:val="20"/>
              </w:rPr>
              <w:t>Backend contracts now exist for the remaining screens identified by frontend engineering.</w:t>
            </w:r>
          </w:p>
          <w:p>
            <w:pPr>
              <w:pStyle w:val="ListBullet"/>
              <w:spacing w:after="40"/>
            </w:pPr>
            <w:r>
              <w:rPr>
                <w:rFonts w:ascii="Calibri" w:hAnsi="Calibri"/>
                <w:b w:val="0"/>
                <w:i w:val="0"/>
                <w:color w:val="2B2B2F"/>
                <w:sz w:val="19"/>
              </w:rPr>
              <w:t>Connect messaging and thread history.</w:t>
            </w:r>
          </w:p>
          <w:p>
            <w:pPr>
              <w:pStyle w:val="ListBullet"/>
              <w:spacing w:after="40"/>
            </w:pPr>
            <w:r>
              <w:rPr>
                <w:rFonts w:ascii="Calibri" w:hAnsi="Calibri"/>
                <w:b w:val="0"/>
                <w:i w:val="0"/>
                <w:color w:val="2B2B2F"/>
                <w:sz w:val="19"/>
              </w:rPr>
              <w:t>Notifications, unread count, and mark-as-read.</w:t>
            </w:r>
          </w:p>
          <w:p>
            <w:pPr>
              <w:pStyle w:val="ListBullet"/>
              <w:spacing w:after="40"/>
            </w:pPr>
            <w:r>
              <w:rPr>
                <w:rFonts w:ascii="Calibri" w:hAnsi="Calibri"/>
                <w:b w:val="0"/>
                <w:i w:val="0"/>
                <w:color w:val="2B2B2F"/>
                <w:sz w:val="19"/>
              </w:rPr>
              <w:t>Lesson library, lesson detail, upload, and assignment submission.</w:t>
            </w:r>
          </w:p>
          <w:p>
            <w:pPr>
              <w:pStyle w:val="ListBullet"/>
              <w:spacing w:after="40"/>
            </w:pPr>
            <w:r>
              <w:rPr>
                <w:rFonts w:ascii="Calibri" w:hAnsi="Calibri"/>
                <w:b w:val="0"/>
                <w:i w:val="0"/>
                <w:color w:val="2B2B2F"/>
                <w:sz w:val="19"/>
              </w:rPr>
              <w:t>Baseline/profile/settings persistence and password-reset request.</w:t>
            </w:r>
          </w:p>
          <w:p>
            <w:pPr>
              <w:pStyle w:val="ListBullet"/>
              <w:spacing w:after="40"/>
            </w:pPr>
            <w:r>
              <w:rPr>
                <w:rFonts w:ascii="Calibri" w:hAnsi="Calibri"/>
                <w:b w:val="0"/>
                <w:i w:val="0"/>
                <w:color w:val="2B2B2F"/>
                <w:sz w:val="19"/>
              </w:rPr>
              <w:t>Compatibility routes for analytics and intelligence screens.</w:t>
            </w:r>
          </w:p>
        </w:tc>
      </w:tr>
    </w:tbl>
    <w:p>
      <w:pPr>
        <w:spacing w:after="20"/>
      </w:pPr>
    </w:p>
    <w:p>
      <w:pPr>
        <w:pStyle w:val="Heading1"/>
      </w:pPr>
      <w:r>
        <w:t>2. API Contract Inventory</w:t>
      </w:r>
    </w:p>
    <w:p>
      <w:r>
        <w:rPr>
          <w:rFonts w:ascii="Calibri" w:hAnsi="Calibri"/>
          <w:b w:val="0"/>
          <w:i w:val="0"/>
          <w:color w:val="2B2B2F"/>
          <w:sz w:val="21"/>
        </w:rPr>
        <w:t>All routes below are available in Swagger. Unless noted otherwise, protected routes require Authorization: Bearer &lt;access_token&gt;. JSON responses use the aliases shown by Swagger.</w:t>
      </w:r>
    </w:p>
    <w:tbl>
      <w:tblPr>
        <w:tblW w:type="dxa" w:w="9360"/>
        <w:jc w:val="left"/>
        <w:tblLayout w:type="fixed"/>
        <w:tblLook w:firstColumn="1" w:firstRow="1" w:lastColumn="0" w:lastRow="0" w:noHBand="0" w:noVBand="1" w:val="04A0"/>
        <w:tblInd w:w="120" w:type="dxa"/>
      </w:tblPr>
      <w:tblGrid>
        <w:gridCol w:w="850"/>
        <w:gridCol w:w="3990"/>
        <w:gridCol w:w="4520"/>
      </w:tblGrid>
      <w:tr>
        <w:trPr>
          <w:tblHeader w:val="true"/>
          <w:cantSplit/>
        </w:trPr>
        <w:tc>
          <w:tcPr>
            <w:tcW w:type="dxa" w:w="850"/>
            <w:shd w:fill="3B3F6E"/>
            <w:tcMar>
              <w:top w:w="90" w:type="dxa"/>
              <w:start w:w="120" w:type="dxa"/>
              <w:bottom w:w="90" w:type="dxa"/>
              <w:end w:w="120" w:type="dxa"/>
            </w:tcMar>
            <w:vAlign w:val="center"/>
          </w:tcPr>
          <w:p>
            <w:r>
              <w:rPr>
                <w:rFonts w:ascii="Calibri" w:hAnsi="Calibri"/>
                <w:b/>
                <w:i w:val="0"/>
                <w:color w:val="F7F1E6"/>
                <w:sz w:val="18"/>
              </w:rPr>
              <w:t>Method</w:t>
            </w:r>
          </w:p>
        </w:tc>
        <w:tc>
          <w:tcPr>
            <w:tcW w:type="dxa" w:w="3990"/>
            <w:shd w:fill="3B3F6E"/>
            <w:tcMar>
              <w:top w:w="90" w:type="dxa"/>
              <w:start w:w="120" w:type="dxa"/>
              <w:bottom w:w="90" w:type="dxa"/>
              <w:end w:w="120" w:type="dxa"/>
            </w:tcMar>
            <w:vAlign w:val="center"/>
          </w:tcPr>
          <w:p>
            <w:r>
              <w:rPr>
                <w:rFonts w:ascii="Calibri" w:hAnsi="Calibri"/>
                <w:b/>
                <w:i w:val="0"/>
                <w:color w:val="F7F1E6"/>
                <w:sz w:val="18"/>
              </w:rPr>
              <w:t>Endpoint</w:t>
            </w:r>
          </w:p>
        </w:tc>
        <w:tc>
          <w:tcPr>
            <w:tcW w:type="dxa" w:w="4520"/>
            <w:shd w:fill="3B3F6E"/>
            <w:tcMar>
              <w:top w:w="90" w:type="dxa"/>
              <w:start w:w="120" w:type="dxa"/>
              <w:bottom w:w="90" w:type="dxa"/>
              <w:end w:w="120" w:type="dxa"/>
            </w:tcMar>
            <w:vAlign w:val="center"/>
          </w:tcPr>
          <w:p>
            <w:r>
              <w:rPr>
                <w:rFonts w:ascii="Calibri" w:hAnsi="Calibri"/>
                <w:b/>
                <w:i w:val="0"/>
                <w:color w:val="F7F1E6"/>
                <w:sz w:val="18"/>
              </w:rPr>
              <w:t>Frontend use</w:t>
            </w:r>
          </w:p>
        </w:tc>
      </w:tr>
      <w:tr>
        <w:trPr>
          <w:cantSplit/>
        </w:trPr>
        <w:tc>
          <w:tcPr>
            <w:tcW w:type="dxa" w:w="850"/>
            <w:shd w:fill="F7F1E6"/>
            <w:tcMar>
              <w:top w:w="90" w:type="dxa"/>
              <w:start w:w="120" w:type="dxa"/>
              <w:bottom w:w="90" w:type="dxa"/>
              <w:end w:w="120" w:type="dxa"/>
            </w:tcMar>
            <w:vAlign w:val="center"/>
          </w:tcPr>
          <w:p>
            <w:r>
              <w:rPr>
                <w:rFonts w:ascii="Calibri" w:hAnsi="Calibri"/>
                <w:b/>
                <w:i w:val="0"/>
                <w:color w:val="3B3F6E"/>
                <w:sz w:val="17"/>
              </w:rPr>
              <w:t>GET</w:t>
            </w:r>
          </w:p>
        </w:tc>
        <w:tc>
          <w:tcPr>
            <w:tcW w:type="dxa" w:w="3990"/>
            <w:shd w:fill="F7F1E6"/>
            <w:tcMar>
              <w:top w:w="90" w:type="dxa"/>
              <w:start w:w="120" w:type="dxa"/>
              <w:bottom w:w="90" w:type="dxa"/>
              <w:end w:w="120" w:type="dxa"/>
            </w:tcMar>
            <w:vAlign w:val="center"/>
          </w:tcPr>
          <w:p>
            <w:r>
              <w:rPr>
                <w:rFonts w:ascii="Courier New" w:hAnsi="Courier New"/>
                <w:b w:val="0"/>
                <w:i w:val="0"/>
                <w:color w:val="2B2B2F"/>
                <w:sz w:val="16"/>
              </w:rPr>
              <w:t>/api/v1/users/me</w:t>
            </w:r>
          </w:p>
        </w:tc>
        <w:tc>
          <w:tcPr>
            <w:tcW w:type="dxa" w:w="4520"/>
            <w:shd w:fill="F7F1E6"/>
            <w:tcMar>
              <w:top w:w="90" w:type="dxa"/>
              <w:start w:w="120" w:type="dxa"/>
              <w:bottom w:w="90" w:type="dxa"/>
              <w:end w:w="120" w:type="dxa"/>
            </w:tcMar>
            <w:vAlign w:val="center"/>
          </w:tcPr>
          <w:p>
            <w:r>
              <w:rPr>
                <w:rFonts w:ascii="Calibri" w:hAnsi="Calibri"/>
                <w:b w:val="0"/>
                <w:i w:val="0"/>
                <w:color w:val="2B2B2F"/>
                <w:sz w:val="17"/>
              </w:rPr>
              <w:t>Authenticated user identity, role, and school context</w:t>
            </w:r>
          </w:p>
        </w:tc>
      </w:tr>
      <w:tr>
        <w:trPr>
          <w:cantSplit/>
        </w:trPr>
        <w:tc>
          <w:tcPr>
            <w:tcW w:type="dxa" w:w="850"/>
            <w:shd w:fill="EDE8DC"/>
            <w:tcMar>
              <w:top w:w="90" w:type="dxa"/>
              <w:start w:w="120" w:type="dxa"/>
              <w:bottom w:w="90" w:type="dxa"/>
              <w:end w:w="120" w:type="dxa"/>
            </w:tcMar>
            <w:vAlign w:val="center"/>
          </w:tcPr>
          <w:p>
            <w:r>
              <w:rPr>
                <w:rFonts w:ascii="Calibri" w:hAnsi="Calibri"/>
                <w:b/>
                <w:i w:val="0"/>
                <w:color w:val="3B3F6E"/>
                <w:sz w:val="17"/>
              </w:rPr>
              <w:t>GET</w:t>
            </w:r>
          </w:p>
        </w:tc>
        <w:tc>
          <w:tcPr>
            <w:tcW w:type="dxa" w:w="3990"/>
            <w:shd w:fill="EDE8DC"/>
            <w:tcMar>
              <w:top w:w="90" w:type="dxa"/>
              <w:start w:w="120" w:type="dxa"/>
              <w:bottom w:w="90" w:type="dxa"/>
              <w:end w:w="120" w:type="dxa"/>
            </w:tcMar>
            <w:vAlign w:val="center"/>
          </w:tcPr>
          <w:p>
            <w:r>
              <w:rPr>
                <w:rFonts w:ascii="Courier New" w:hAnsi="Courier New"/>
                <w:b w:val="0"/>
                <w:i w:val="0"/>
                <w:color w:val="2B2B2F"/>
                <w:sz w:val="16"/>
              </w:rPr>
              <w:t>/api/v1/classes/{class_id}/students</w:t>
            </w:r>
          </w:p>
        </w:tc>
        <w:tc>
          <w:tcPr>
            <w:tcW w:type="dxa" w:w="4520"/>
            <w:shd w:fill="EDE8DC"/>
            <w:tcMar>
              <w:top w:w="90" w:type="dxa"/>
              <w:start w:w="120" w:type="dxa"/>
              <w:bottom w:w="90" w:type="dxa"/>
              <w:end w:w="120" w:type="dxa"/>
            </w:tcMar>
            <w:vAlign w:val="center"/>
          </w:tcPr>
          <w:p>
            <w:r>
              <w:rPr>
                <w:rFonts w:ascii="Calibri" w:hAnsi="Calibri"/>
                <w:b w:val="0"/>
                <w:i w:val="0"/>
                <w:color w:val="2B2B2F"/>
                <w:sz w:val="17"/>
              </w:rPr>
              <w:t>Roster for teacher class detail</w:t>
            </w:r>
          </w:p>
        </w:tc>
      </w:tr>
      <w:tr>
        <w:trPr>
          <w:cantSplit/>
        </w:trPr>
        <w:tc>
          <w:tcPr>
            <w:tcW w:type="dxa" w:w="850"/>
            <w:shd w:fill="F7F1E6"/>
            <w:tcMar>
              <w:top w:w="90" w:type="dxa"/>
              <w:start w:w="120" w:type="dxa"/>
              <w:bottom w:w="90" w:type="dxa"/>
              <w:end w:w="120" w:type="dxa"/>
            </w:tcMar>
            <w:vAlign w:val="center"/>
          </w:tcPr>
          <w:p>
            <w:r>
              <w:rPr>
                <w:rFonts w:ascii="Calibri" w:hAnsi="Calibri"/>
                <w:b/>
                <w:i w:val="0"/>
                <w:color w:val="3B3F6E"/>
                <w:sz w:val="17"/>
              </w:rPr>
              <w:t>GET</w:t>
            </w:r>
          </w:p>
        </w:tc>
        <w:tc>
          <w:tcPr>
            <w:tcW w:type="dxa" w:w="3990"/>
            <w:shd w:fill="F7F1E6"/>
            <w:tcMar>
              <w:top w:w="90" w:type="dxa"/>
              <w:start w:w="120" w:type="dxa"/>
              <w:bottom w:w="90" w:type="dxa"/>
              <w:end w:w="120" w:type="dxa"/>
            </w:tcMar>
            <w:vAlign w:val="center"/>
          </w:tcPr>
          <w:p>
            <w:r>
              <w:rPr>
                <w:rFonts w:ascii="Courier New" w:hAnsi="Courier New"/>
                <w:b w:val="0"/>
                <w:i w:val="0"/>
                <w:color w:val="2B2B2F"/>
                <w:sz w:val="16"/>
              </w:rPr>
              <w:t>/api/concepts</w:t>
            </w:r>
          </w:p>
        </w:tc>
        <w:tc>
          <w:tcPr>
            <w:tcW w:type="dxa" w:w="4520"/>
            <w:shd w:fill="F7F1E6"/>
            <w:tcMar>
              <w:top w:w="90" w:type="dxa"/>
              <w:start w:w="120" w:type="dxa"/>
              <w:bottom w:w="90" w:type="dxa"/>
              <w:end w:w="120" w:type="dxa"/>
            </w:tcMar>
            <w:vAlign w:val="center"/>
          </w:tcPr>
          <w:p>
            <w:r>
              <w:rPr>
                <w:rFonts w:ascii="Calibri" w:hAnsi="Calibri"/>
                <w:b w:val="0"/>
                <w:i w:val="0"/>
                <w:color w:val="2B2B2F"/>
                <w:sz w:val="17"/>
              </w:rPr>
              <w:t>Concept reference list</w:t>
            </w:r>
          </w:p>
        </w:tc>
      </w:tr>
      <w:tr>
        <w:trPr>
          <w:cantSplit/>
        </w:trPr>
        <w:tc>
          <w:tcPr>
            <w:tcW w:type="dxa" w:w="850"/>
            <w:shd w:fill="EDE8DC"/>
            <w:tcMar>
              <w:top w:w="90" w:type="dxa"/>
              <w:start w:w="120" w:type="dxa"/>
              <w:bottom w:w="90" w:type="dxa"/>
              <w:end w:w="120" w:type="dxa"/>
            </w:tcMar>
            <w:vAlign w:val="center"/>
          </w:tcPr>
          <w:p>
            <w:r>
              <w:rPr>
                <w:rFonts w:ascii="Calibri" w:hAnsi="Calibri"/>
                <w:b/>
                <w:i w:val="0"/>
                <w:color w:val="3B3F6E"/>
                <w:sz w:val="17"/>
              </w:rPr>
              <w:t>GET</w:t>
            </w:r>
          </w:p>
        </w:tc>
        <w:tc>
          <w:tcPr>
            <w:tcW w:type="dxa" w:w="3990"/>
            <w:shd w:fill="EDE8DC"/>
            <w:tcMar>
              <w:top w:w="90" w:type="dxa"/>
              <w:start w:w="120" w:type="dxa"/>
              <w:bottom w:w="90" w:type="dxa"/>
              <w:end w:w="120" w:type="dxa"/>
            </w:tcMar>
            <w:vAlign w:val="center"/>
          </w:tcPr>
          <w:p>
            <w:r>
              <w:rPr>
                <w:rFonts w:ascii="Courier New" w:hAnsi="Courier New"/>
                <w:b w:val="0"/>
                <w:i w:val="0"/>
                <w:color w:val="2B2B2F"/>
                <w:sz w:val="16"/>
              </w:rPr>
              <w:t>/api/concepts/{concept_id}</w:t>
            </w:r>
          </w:p>
        </w:tc>
        <w:tc>
          <w:tcPr>
            <w:tcW w:type="dxa" w:w="4520"/>
            <w:shd w:fill="EDE8DC"/>
            <w:tcMar>
              <w:top w:w="90" w:type="dxa"/>
              <w:start w:w="120" w:type="dxa"/>
              <w:bottom w:w="90" w:type="dxa"/>
              <w:end w:w="120" w:type="dxa"/>
            </w:tcMar>
            <w:vAlign w:val="center"/>
          </w:tcPr>
          <w:p>
            <w:r>
              <w:rPr>
                <w:rFonts w:ascii="Calibri" w:hAnsi="Calibri"/>
                <w:b w:val="0"/>
                <w:i w:val="0"/>
                <w:color w:val="2B2B2F"/>
                <w:sz w:val="17"/>
              </w:rPr>
              <w:t>Single concept metadata</w:t>
            </w:r>
          </w:p>
        </w:tc>
      </w:tr>
      <w:tr>
        <w:trPr>
          <w:cantSplit/>
        </w:trPr>
        <w:tc>
          <w:tcPr>
            <w:tcW w:type="dxa" w:w="850"/>
            <w:shd w:fill="F7F1E6"/>
            <w:tcMar>
              <w:top w:w="90" w:type="dxa"/>
              <w:start w:w="120" w:type="dxa"/>
              <w:bottom w:w="90" w:type="dxa"/>
              <w:end w:w="120" w:type="dxa"/>
            </w:tcMar>
            <w:vAlign w:val="center"/>
          </w:tcPr>
          <w:p>
            <w:r>
              <w:rPr>
                <w:rFonts w:ascii="Calibri" w:hAnsi="Calibri"/>
                <w:b/>
                <w:i w:val="0"/>
                <w:color w:val="3B3F6E"/>
                <w:sz w:val="17"/>
              </w:rPr>
              <w:t>GET</w:t>
            </w:r>
          </w:p>
        </w:tc>
        <w:tc>
          <w:tcPr>
            <w:tcW w:type="dxa" w:w="3990"/>
            <w:shd w:fill="F7F1E6"/>
            <w:tcMar>
              <w:top w:w="90" w:type="dxa"/>
              <w:start w:w="120" w:type="dxa"/>
              <w:bottom w:w="90" w:type="dxa"/>
              <w:end w:w="120" w:type="dxa"/>
            </w:tcMar>
            <w:vAlign w:val="center"/>
          </w:tcPr>
          <w:p>
            <w:r>
              <w:rPr>
                <w:rFonts w:ascii="Courier New" w:hAnsi="Courier New"/>
                <w:b w:val="0"/>
                <w:i w:val="0"/>
                <w:color w:val="2B2B2F"/>
                <w:sz w:val="16"/>
              </w:rPr>
              <w:t>/api/content/lessons</w:t>
            </w:r>
          </w:p>
        </w:tc>
        <w:tc>
          <w:tcPr>
            <w:tcW w:type="dxa" w:w="4520"/>
            <w:shd w:fill="F7F1E6"/>
            <w:tcMar>
              <w:top w:w="90" w:type="dxa"/>
              <w:start w:w="120" w:type="dxa"/>
              <w:bottom w:w="90" w:type="dxa"/>
              <w:end w:w="120" w:type="dxa"/>
            </w:tcMar>
            <w:vAlign w:val="center"/>
          </w:tcPr>
          <w:p>
            <w:r>
              <w:rPr>
                <w:rFonts w:ascii="Calibri" w:hAnsi="Calibri"/>
                <w:b w:val="0"/>
                <w:i w:val="0"/>
                <w:color w:val="2B2B2F"/>
                <w:sz w:val="17"/>
              </w:rPr>
              <w:t>Parsed lesson library</w:t>
            </w:r>
          </w:p>
        </w:tc>
      </w:tr>
      <w:tr>
        <w:trPr>
          <w:cantSplit/>
        </w:trPr>
        <w:tc>
          <w:tcPr>
            <w:tcW w:type="dxa" w:w="850"/>
            <w:shd w:fill="EDE8DC"/>
            <w:tcMar>
              <w:top w:w="90" w:type="dxa"/>
              <w:start w:w="120" w:type="dxa"/>
              <w:bottom w:w="90" w:type="dxa"/>
              <w:end w:w="120" w:type="dxa"/>
            </w:tcMar>
            <w:vAlign w:val="center"/>
          </w:tcPr>
          <w:p>
            <w:r>
              <w:rPr>
                <w:rFonts w:ascii="Calibri" w:hAnsi="Calibri"/>
                <w:b/>
                <w:i w:val="0"/>
                <w:color w:val="3B3F6E"/>
                <w:sz w:val="17"/>
              </w:rPr>
              <w:t>GET</w:t>
            </w:r>
          </w:p>
        </w:tc>
        <w:tc>
          <w:tcPr>
            <w:tcW w:type="dxa" w:w="3990"/>
            <w:shd w:fill="EDE8DC"/>
            <w:tcMar>
              <w:top w:w="90" w:type="dxa"/>
              <w:start w:w="120" w:type="dxa"/>
              <w:bottom w:w="90" w:type="dxa"/>
              <w:end w:w="120" w:type="dxa"/>
            </w:tcMar>
            <w:vAlign w:val="center"/>
          </w:tcPr>
          <w:p>
            <w:r>
              <w:rPr>
                <w:rFonts w:ascii="Courier New" w:hAnsi="Courier New"/>
                <w:b w:val="0"/>
                <w:i w:val="0"/>
                <w:color w:val="2B2B2F"/>
                <w:sz w:val="16"/>
              </w:rPr>
              <w:t>/api/v1/lessons</w:t>
            </w:r>
          </w:p>
        </w:tc>
        <w:tc>
          <w:tcPr>
            <w:tcW w:type="dxa" w:w="4520"/>
            <w:shd w:fill="EDE8DC"/>
            <w:tcMar>
              <w:top w:w="90" w:type="dxa"/>
              <w:start w:w="120" w:type="dxa"/>
              <w:bottom w:w="90" w:type="dxa"/>
              <w:end w:w="120" w:type="dxa"/>
            </w:tcMar>
            <w:vAlign w:val="center"/>
          </w:tcPr>
          <w:p>
            <w:r>
              <w:rPr>
                <w:rFonts w:ascii="Calibri" w:hAnsi="Calibri"/>
                <w:b w:val="0"/>
                <w:i w:val="0"/>
                <w:color w:val="2B2B2F"/>
                <w:sz w:val="17"/>
              </w:rPr>
              <w:t>Versioned lesson library alias</w:t>
            </w:r>
          </w:p>
        </w:tc>
      </w:tr>
      <w:tr>
        <w:trPr>
          <w:cantSplit/>
        </w:trPr>
        <w:tc>
          <w:tcPr>
            <w:tcW w:type="dxa" w:w="850"/>
            <w:shd w:fill="F7F1E6"/>
            <w:tcMar>
              <w:top w:w="90" w:type="dxa"/>
              <w:start w:w="120" w:type="dxa"/>
              <w:bottom w:w="90" w:type="dxa"/>
              <w:end w:w="120" w:type="dxa"/>
            </w:tcMar>
            <w:vAlign w:val="center"/>
          </w:tcPr>
          <w:p>
            <w:r>
              <w:rPr>
                <w:rFonts w:ascii="Calibri" w:hAnsi="Calibri"/>
                <w:b/>
                <w:i w:val="0"/>
                <w:color w:val="3B3F6E"/>
                <w:sz w:val="17"/>
              </w:rPr>
              <w:t>GET</w:t>
            </w:r>
          </w:p>
        </w:tc>
        <w:tc>
          <w:tcPr>
            <w:tcW w:type="dxa" w:w="3990"/>
            <w:shd w:fill="F7F1E6"/>
            <w:tcMar>
              <w:top w:w="90" w:type="dxa"/>
              <w:start w:w="120" w:type="dxa"/>
              <w:bottom w:w="90" w:type="dxa"/>
              <w:end w:w="120" w:type="dxa"/>
            </w:tcMar>
            <w:vAlign w:val="center"/>
          </w:tcPr>
          <w:p>
            <w:r>
              <w:rPr>
                <w:rFonts w:ascii="Courier New" w:hAnsi="Courier New"/>
                <w:b w:val="0"/>
                <w:i w:val="0"/>
                <w:color w:val="2B2B2F"/>
                <w:sz w:val="16"/>
              </w:rPr>
              <w:t>/api/content/lessons/{lesson_id}</w:t>
            </w:r>
          </w:p>
        </w:tc>
        <w:tc>
          <w:tcPr>
            <w:tcW w:type="dxa" w:w="4520"/>
            <w:shd w:fill="F7F1E6"/>
            <w:tcMar>
              <w:top w:w="90" w:type="dxa"/>
              <w:start w:w="120" w:type="dxa"/>
              <w:bottom w:w="90" w:type="dxa"/>
              <w:end w:w="120" w:type="dxa"/>
            </w:tcMar>
            <w:vAlign w:val="center"/>
          </w:tcPr>
          <w:p>
            <w:r>
              <w:rPr>
                <w:rFonts w:ascii="Calibri" w:hAnsi="Calibri"/>
                <w:b w:val="0"/>
                <w:i w:val="0"/>
                <w:color w:val="2B2B2F"/>
                <w:sz w:val="17"/>
              </w:rPr>
              <w:t>Lesson and ordered segment detail</w:t>
            </w:r>
          </w:p>
        </w:tc>
      </w:tr>
      <w:tr>
        <w:trPr>
          <w:cantSplit/>
        </w:trPr>
        <w:tc>
          <w:tcPr>
            <w:tcW w:type="dxa" w:w="850"/>
            <w:shd w:fill="EDE8DC"/>
            <w:tcMar>
              <w:top w:w="90" w:type="dxa"/>
              <w:start w:w="120" w:type="dxa"/>
              <w:bottom w:w="90" w:type="dxa"/>
              <w:end w:w="120" w:type="dxa"/>
            </w:tcMar>
            <w:vAlign w:val="center"/>
          </w:tcPr>
          <w:p>
            <w:r>
              <w:rPr>
                <w:rFonts w:ascii="Calibri" w:hAnsi="Calibri"/>
                <w:b/>
                <w:i w:val="0"/>
                <w:color w:val="3B3F6E"/>
                <w:sz w:val="17"/>
              </w:rPr>
              <w:t>GET</w:t>
            </w:r>
          </w:p>
        </w:tc>
        <w:tc>
          <w:tcPr>
            <w:tcW w:type="dxa" w:w="3990"/>
            <w:shd w:fill="EDE8DC"/>
            <w:tcMar>
              <w:top w:w="90" w:type="dxa"/>
              <w:start w:w="120" w:type="dxa"/>
              <w:bottom w:w="90" w:type="dxa"/>
              <w:end w:w="120" w:type="dxa"/>
            </w:tcMar>
            <w:vAlign w:val="center"/>
          </w:tcPr>
          <w:p>
            <w:r>
              <w:rPr>
                <w:rFonts w:ascii="Courier New" w:hAnsi="Courier New"/>
                <w:b w:val="0"/>
                <w:i w:val="0"/>
                <w:color w:val="2B2B2F"/>
                <w:sz w:val="16"/>
              </w:rPr>
              <w:t>/api/v1/lessons/{lesson_id}</w:t>
            </w:r>
          </w:p>
        </w:tc>
        <w:tc>
          <w:tcPr>
            <w:tcW w:type="dxa" w:w="4520"/>
            <w:shd w:fill="EDE8DC"/>
            <w:tcMar>
              <w:top w:w="90" w:type="dxa"/>
              <w:start w:w="120" w:type="dxa"/>
              <w:bottom w:w="90" w:type="dxa"/>
              <w:end w:w="120" w:type="dxa"/>
            </w:tcMar>
            <w:vAlign w:val="center"/>
          </w:tcPr>
          <w:p>
            <w:r>
              <w:rPr>
                <w:rFonts w:ascii="Calibri" w:hAnsi="Calibri"/>
                <w:b w:val="0"/>
                <w:i w:val="0"/>
                <w:color w:val="2B2B2F"/>
                <w:sz w:val="17"/>
              </w:rPr>
              <w:t>Versioned lesson detail alias</w:t>
            </w:r>
          </w:p>
        </w:tc>
      </w:tr>
      <w:tr>
        <w:trPr>
          <w:cantSplit/>
        </w:trPr>
        <w:tc>
          <w:tcPr>
            <w:tcW w:type="dxa" w:w="850"/>
            <w:shd w:fill="F7F1E6"/>
            <w:tcMar>
              <w:top w:w="90" w:type="dxa"/>
              <w:start w:w="120" w:type="dxa"/>
              <w:bottom w:w="90" w:type="dxa"/>
              <w:end w:w="120" w:type="dxa"/>
            </w:tcMar>
            <w:vAlign w:val="center"/>
          </w:tcPr>
          <w:p>
            <w:r>
              <w:rPr>
                <w:rFonts w:ascii="Calibri" w:hAnsi="Calibri"/>
                <w:b/>
                <w:i w:val="0"/>
                <w:color w:val="3B3F6E"/>
                <w:sz w:val="17"/>
              </w:rPr>
              <w:t>POST</w:t>
            </w:r>
          </w:p>
        </w:tc>
        <w:tc>
          <w:tcPr>
            <w:tcW w:type="dxa" w:w="3990"/>
            <w:shd w:fill="F7F1E6"/>
            <w:tcMar>
              <w:top w:w="90" w:type="dxa"/>
              <w:start w:w="120" w:type="dxa"/>
              <w:bottom w:w="90" w:type="dxa"/>
              <w:end w:w="120" w:type="dxa"/>
            </w:tcMar>
            <w:vAlign w:val="center"/>
          </w:tcPr>
          <w:p>
            <w:r>
              <w:rPr>
                <w:rFonts w:ascii="Courier New" w:hAnsi="Courier New"/>
                <w:b w:val="0"/>
                <w:i w:val="0"/>
                <w:color w:val="2B2B2F"/>
                <w:sz w:val="16"/>
              </w:rPr>
              <w:t>/api/content/upload</w:t>
            </w:r>
          </w:p>
        </w:tc>
        <w:tc>
          <w:tcPr>
            <w:tcW w:type="dxa" w:w="4520"/>
            <w:shd w:fill="F7F1E6"/>
            <w:tcMar>
              <w:top w:w="90" w:type="dxa"/>
              <w:start w:w="120" w:type="dxa"/>
              <w:bottom w:w="90" w:type="dxa"/>
              <w:end w:w="120" w:type="dxa"/>
            </w:tcMar>
            <w:vAlign w:val="center"/>
          </w:tcPr>
          <w:p>
            <w:r>
              <w:rPr>
                <w:rFonts w:ascii="Calibri" w:hAnsi="Calibri"/>
                <w:b w:val="0"/>
                <w:i w:val="0"/>
                <w:color w:val="2B2B2F"/>
                <w:sz w:val="17"/>
              </w:rPr>
              <w:t>Multipart source-file parsing</w:t>
            </w:r>
          </w:p>
        </w:tc>
      </w:tr>
      <w:tr>
        <w:trPr>
          <w:cantSplit/>
        </w:trPr>
        <w:tc>
          <w:tcPr>
            <w:tcW w:type="dxa" w:w="850"/>
            <w:shd w:fill="EDE8DC"/>
            <w:tcMar>
              <w:top w:w="90" w:type="dxa"/>
              <w:start w:w="120" w:type="dxa"/>
              <w:bottom w:w="90" w:type="dxa"/>
              <w:end w:w="120" w:type="dxa"/>
            </w:tcMar>
            <w:vAlign w:val="center"/>
          </w:tcPr>
          <w:p>
            <w:r>
              <w:rPr>
                <w:rFonts w:ascii="Calibri" w:hAnsi="Calibri"/>
                <w:b/>
                <w:i w:val="0"/>
                <w:color w:val="3B3F6E"/>
                <w:sz w:val="17"/>
              </w:rPr>
              <w:t>POST</w:t>
            </w:r>
          </w:p>
        </w:tc>
        <w:tc>
          <w:tcPr>
            <w:tcW w:type="dxa" w:w="3990"/>
            <w:shd w:fill="EDE8DC"/>
            <w:tcMar>
              <w:top w:w="90" w:type="dxa"/>
              <w:start w:w="120" w:type="dxa"/>
              <w:bottom w:w="90" w:type="dxa"/>
              <w:end w:w="120" w:type="dxa"/>
            </w:tcMar>
            <w:vAlign w:val="center"/>
          </w:tcPr>
          <w:p>
            <w:r>
              <w:rPr>
                <w:rFonts w:ascii="Courier New" w:hAnsi="Courier New"/>
                <w:b w:val="0"/>
                <w:i w:val="0"/>
                <w:color w:val="2B2B2F"/>
                <w:sz w:val="16"/>
              </w:rPr>
              <w:t>/api/v1/lesson-assignments</w:t>
            </w:r>
          </w:p>
        </w:tc>
        <w:tc>
          <w:tcPr>
            <w:tcW w:type="dxa" w:w="4520"/>
            <w:shd w:fill="EDE8DC"/>
            <w:tcMar>
              <w:top w:w="90" w:type="dxa"/>
              <w:start w:w="120" w:type="dxa"/>
              <w:bottom w:w="90" w:type="dxa"/>
              <w:end w:w="120" w:type="dxa"/>
            </w:tcMar>
            <w:vAlign w:val="center"/>
          </w:tcPr>
          <w:p>
            <w:r>
              <w:rPr>
                <w:rFonts w:ascii="Calibri" w:hAnsi="Calibri"/>
                <w:b w:val="0"/>
                <w:i w:val="0"/>
                <w:color w:val="2B2B2F"/>
                <w:sz w:val="17"/>
              </w:rPr>
              <w:t>Assign lesson to class or students</w:t>
            </w:r>
          </w:p>
        </w:tc>
      </w:tr>
      <w:tr>
        <w:trPr>
          <w:cantSplit/>
        </w:trPr>
        <w:tc>
          <w:tcPr>
            <w:tcW w:type="dxa" w:w="850"/>
            <w:shd w:fill="F7F1E6"/>
            <w:tcMar>
              <w:top w:w="90" w:type="dxa"/>
              <w:start w:w="120" w:type="dxa"/>
              <w:bottom w:w="90" w:type="dxa"/>
              <w:end w:w="120" w:type="dxa"/>
            </w:tcMar>
            <w:vAlign w:val="center"/>
          </w:tcPr>
          <w:p>
            <w:r>
              <w:rPr>
                <w:rFonts w:ascii="Calibri" w:hAnsi="Calibri"/>
                <w:b/>
                <w:i w:val="0"/>
                <w:color w:val="3B3F6E"/>
                <w:sz w:val="17"/>
              </w:rPr>
              <w:t>GET</w:t>
            </w:r>
          </w:p>
        </w:tc>
        <w:tc>
          <w:tcPr>
            <w:tcW w:type="dxa" w:w="3990"/>
            <w:shd w:fill="F7F1E6"/>
            <w:tcMar>
              <w:top w:w="90" w:type="dxa"/>
              <w:start w:w="120" w:type="dxa"/>
              <w:bottom w:w="90" w:type="dxa"/>
              <w:end w:w="120" w:type="dxa"/>
            </w:tcMar>
            <w:vAlign w:val="center"/>
          </w:tcPr>
          <w:p>
            <w:r>
              <w:rPr>
                <w:rFonts w:ascii="Courier New" w:hAnsi="Courier New"/>
                <w:b w:val="0"/>
                <w:i w:val="0"/>
                <w:color w:val="2B2B2F"/>
                <w:sz w:val="16"/>
              </w:rPr>
              <w:t>/api/notifications</w:t>
            </w:r>
          </w:p>
        </w:tc>
        <w:tc>
          <w:tcPr>
            <w:tcW w:type="dxa" w:w="4520"/>
            <w:shd w:fill="F7F1E6"/>
            <w:tcMar>
              <w:top w:w="90" w:type="dxa"/>
              <w:start w:w="120" w:type="dxa"/>
              <w:bottom w:w="90" w:type="dxa"/>
              <w:end w:w="120" w:type="dxa"/>
            </w:tcMar>
            <w:vAlign w:val="center"/>
          </w:tcPr>
          <w:p>
            <w:r>
              <w:rPr>
                <w:rFonts w:ascii="Calibri" w:hAnsi="Calibri"/>
                <w:b w:val="0"/>
                <w:i w:val="0"/>
                <w:color w:val="2B2B2F"/>
                <w:sz w:val="17"/>
              </w:rPr>
              <w:t>Notification feed and unread count</w:t>
            </w:r>
          </w:p>
        </w:tc>
      </w:tr>
      <w:tr>
        <w:trPr>
          <w:cantSplit/>
        </w:trPr>
        <w:tc>
          <w:tcPr>
            <w:tcW w:type="dxa" w:w="850"/>
            <w:shd w:fill="EDE8DC"/>
            <w:tcMar>
              <w:top w:w="90" w:type="dxa"/>
              <w:start w:w="120" w:type="dxa"/>
              <w:bottom w:w="90" w:type="dxa"/>
              <w:end w:w="120" w:type="dxa"/>
            </w:tcMar>
            <w:vAlign w:val="center"/>
          </w:tcPr>
          <w:p>
            <w:r>
              <w:rPr>
                <w:rFonts w:ascii="Calibri" w:hAnsi="Calibri"/>
                <w:b/>
                <w:i w:val="0"/>
                <w:color w:val="3B3F6E"/>
                <w:sz w:val="17"/>
              </w:rPr>
              <w:t>GET</w:t>
            </w:r>
          </w:p>
        </w:tc>
        <w:tc>
          <w:tcPr>
            <w:tcW w:type="dxa" w:w="3990"/>
            <w:shd w:fill="EDE8DC"/>
            <w:tcMar>
              <w:top w:w="90" w:type="dxa"/>
              <w:start w:w="120" w:type="dxa"/>
              <w:bottom w:w="90" w:type="dxa"/>
              <w:end w:w="120" w:type="dxa"/>
            </w:tcMar>
            <w:vAlign w:val="center"/>
          </w:tcPr>
          <w:p>
            <w:r>
              <w:rPr>
                <w:rFonts w:ascii="Courier New" w:hAnsi="Courier New"/>
                <w:b w:val="0"/>
                <w:i w:val="0"/>
                <w:color w:val="2B2B2F"/>
                <w:sz w:val="16"/>
              </w:rPr>
              <w:t>/api/notifications/unread-count</w:t>
            </w:r>
          </w:p>
        </w:tc>
        <w:tc>
          <w:tcPr>
            <w:tcW w:type="dxa" w:w="4520"/>
            <w:shd w:fill="EDE8DC"/>
            <w:tcMar>
              <w:top w:w="90" w:type="dxa"/>
              <w:start w:w="120" w:type="dxa"/>
              <w:bottom w:w="90" w:type="dxa"/>
              <w:end w:w="120" w:type="dxa"/>
            </w:tcMar>
            <w:vAlign w:val="center"/>
          </w:tcPr>
          <w:p>
            <w:r>
              <w:rPr>
                <w:rFonts w:ascii="Calibri" w:hAnsi="Calibri"/>
                <w:b w:val="0"/>
                <w:i w:val="0"/>
                <w:color w:val="2B2B2F"/>
                <w:sz w:val="17"/>
              </w:rPr>
              <w:t>Compact badge count</w:t>
            </w:r>
          </w:p>
        </w:tc>
      </w:tr>
      <w:tr>
        <w:trPr>
          <w:cantSplit/>
        </w:trPr>
        <w:tc>
          <w:tcPr>
            <w:tcW w:type="dxa" w:w="850"/>
            <w:shd w:fill="F7F1E6"/>
            <w:tcMar>
              <w:top w:w="90" w:type="dxa"/>
              <w:start w:w="120" w:type="dxa"/>
              <w:bottom w:w="90" w:type="dxa"/>
              <w:end w:w="120" w:type="dxa"/>
            </w:tcMar>
            <w:vAlign w:val="center"/>
          </w:tcPr>
          <w:p>
            <w:r>
              <w:rPr>
                <w:rFonts w:ascii="Calibri" w:hAnsi="Calibri"/>
                <w:b/>
                <w:i w:val="0"/>
                <w:color w:val="3B3F6E"/>
                <w:sz w:val="17"/>
              </w:rPr>
              <w:t>POST</w:t>
            </w:r>
          </w:p>
        </w:tc>
        <w:tc>
          <w:tcPr>
            <w:tcW w:type="dxa" w:w="3990"/>
            <w:shd w:fill="F7F1E6"/>
            <w:tcMar>
              <w:top w:w="90" w:type="dxa"/>
              <w:start w:w="120" w:type="dxa"/>
              <w:bottom w:w="90" w:type="dxa"/>
              <w:end w:w="120" w:type="dxa"/>
            </w:tcMar>
            <w:vAlign w:val="center"/>
          </w:tcPr>
          <w:p>
            <w:r>
              <w:rPr>
                <w:rFonts w:ascii="Courier New" w:hAnsi="Courier New"/>
                <w:b w:val="0"/>
                <w:i w:val="0"/>
                <w:color w:val="2B2B2F"/>
                <w:sz w:val="16"/>
              </w:rPr>
              <w:t>/api/notifications/{notification_id}/read</w:t>
            </w:r>
          </w:p>
        </w:tc>
        <w:tc>
          <w:tcPr>
            <w:tcW w:type="dxa" w:w="4520"/>
            <w:shd w:fill="F7F1E6"/>
            <w:tcMar>
              <w:top w:w="90" w:type="dxa"/>
              <w:start w:w="120" w:type="dxa"/>
              <w:bottom w:w="90" w:type="dxa"/>
              <w:end w:w="120" w:type="dxa"/>
            </w:tcMar>
            <w:vAlign w:val="center"/>
          </w:tcPr>
          <w:p>
            <w:r>
              <w:rPr>
                <w:rFonts w:ascii="Calibri" w:hAnsi="Calibri"/>
                <w:b w:val="0"/>
                <w:i w:val="0"/>
                <w:color w:val="2B2B2F"/>
                <w:sz w:val="17"/>
              </w:rPr>
              <w:t>Mark one notification as read</w:t>
            </w:r>
          </w:p>
        </w:tc>
      </w:tr>
      <w:tr>
        <w:trPr>
          <w:cantSplit/>
        </w:trPr>
        <w:tc>
          <w:tcPr>
            <w:tcW w:type="dxa" w:w="850"/>
            <w:shd w:fill="EDE8DC"/>
            <w:tcMar>
              <w:top w:w="90" w:type="dxa"/>
              <w:start w:w="120" w:type="dxa"/>
              <w:bottom w:w="90" w:type="dxa"/>
              <w:end w:w="120" w:type="dxa"/>
            </w:tcMar>
            <w:vAlign w:val="center"/>
          </w:tcPr>
          <w:p>
            <w:r>
              <w:rPr>
                <w:rFonts w:ascii="Calibri" w:hAnsi="Calibri"/>
                <w:b/>
                <w:i w:val="0"/>
                <w:color w:val="3B3F6E"/>
                <w:sz w:val="17"/>
              </w:rPr>
              <w:t>GET</w:t>
            </w:r>
          </w:p>
        </w:tc>
        <w:tc>
          <w:tcPr>
            <w:tcW w:type="dxa" w:w="3990"/>
            <w:shd w:fill="EDE8DC"/>
            <w:tcMar>
              <w:top w:w="90" w:type="dxa"/>
              <w:start w:w="120" w:type="dxa"/>
              <w:bottom w:w="90" w:type="dxa"/>
              <w:end w:w="120" w:type="dxa"/>
            </w:tcMar>
            <w:vAlign w:val="center"/>
          </w:tcPr>
          <w:p>
            <w:r>
              <w:rPr>
                <w:rFonts w:ascii="Courier New" w:hAnsi="Courier New"/>
                <w:b w:val="0"/>
                <w:i w:val="0"/>
                <w:color w:val="2B2B2F"/>
                <w:sz w:val="16"/>
              </w:rPr>
              <w:t>/api/messages/threads</w:t>
            </w:r>
          </w:p>
        </w:tc>
        <w:tc>
          <w:tcPr>
            <w:tcW w:type="dxa" w:w="4520"/>
            <w:shd w:fill="EDE8DC"/>
            <w:tcMar>
              <w:top w:w="90" w:type="dxa"/>
              <w:start w:w="120" w:type="dxa"/>
              <w:bottom w:w="90" w:type="dxa"/>
              <w:end w:w="120" w:type="dxa"/>
            </w:tcMar>
            <w:vAlign w:val="center"/>
          </w:tcPr>
          <w:p>
            <w:r>
              <w:rPr>
                <w:rFonts w:ascii="Calibri" w:hAnsi="Calibri"/>
                <w:b w:val="0"/>
                <w:i w:val="0"/>
                <w:color w:val="2B2B2F"/>
                <w:sz w:val="17"/>
              </w:rPr>
              <w:t>Connect conversation list</w:t>
            </w:r>
          </w:p>
        </w:tc>
      </w:tr>
      <w:tr>
        <w:trPr>
          <w:cantSplit/>
        </w:trPr>
        <w:tc>
          <w:tcPr>
            <w:tcW w:type="dxa" w:w="850"/>
            <w:shd w:fill="F7F1E6"/>
            <w:tcMar>
              <w:top w:w="90" w:type="dxa"/>
              <w:start w:w="120" w:type="dxa"/>
              <w:bottom w:w="90" w:type="dxa"/>
              <w:end w:w="120" w:type="dxa"/>
            </w:tcMar>
            <w:vAlign w:val="center"/>
          </w:tcPr>
          <w:p>
            <w:r>
              <w:rPr>
                <w:rFonts w:ascii="Calibri" w:hAnsi="Calibri"/>
                <w:b/>
                <w:i w:val="0"/>
                <w:color w:val="3B3F6E"/>
                <w:sz w:val="17"/>
              </w:rPr>
              <w:t>GET</w:t>
            </w:r>
          </w:p>
        </w:tc>
        <w:tc>
          <w:tcPr>
            <w:tcW w:type="dxa" w:w="3990"/>
            <w:shd w:fill="F7F1E6"/>
            <w:tcMar>
              <w:top w:w="90" w:type="dxa"/>
              <w:start w:w="120" w:type="dxa"/>
              <w:bottom w:w="90" w:type="dxa"/>
              <w:end w:w="120" w:type="dxa"/>
            </w:tcMar>
            <w:vAlign w:val="center"/>
          </w:tcPr>
          <w:p>
            <w:r>
              <w:rPr>
                <w:rFonts w:ascii="Courier New" w:hAnsi="Courier New"/>
                <w:b w:val="0"/>
                <w:i w:val="0"/>
                <w:color w:val="2B2B2F"/>
                <w:sz w:val="16"/>
              </w:rPr>
              <w:t>/api/messages/threads/{thread_id}</w:t>
            </w:r>
          </w:p>
        </w:tc>
        <w:tc>
          <w:tcPr>
            <w:tcW w:type="dxa" w:w="4520"/>
            <w:shd w:fill="F7F1E6"/>
            <w:tcMar>
              <w:top w:w="90" w:type="dxa"/>
              <w:start w:w="120" w:type="dxa"/>
              <w:bottom w:w="90" w:type="dxa"/>
              <w:end w:w="120" w:type="dxa"/>
            </w:tcMar>
            <w:vAlign w:val="center"/>
          </w:tcPr>
          <w:p>
            <w:r>
              <w:rPr>
                <w:rFonts w:ascii="Calibri" w:hAnsi="Calibri"/>
                <w:b w:val="0"/>
                <w:i w:val="0"/>
                <w:color w:val="2B2B2F"/>
                <w:sz w:val="17"/>
              </w:rPr>
              <w:t>Chronological thread messages</w:t>
            </w:r>
          </w:p>
        </w:tc>
      </w:tr>
      <w:tr>
        <w:trPr>
          <w:cantSplit/>
        </w:trPr>
        <w:tc>
          <w:tcPr>
            <w:tcW w:type="dxa" w:w="850"/>
            <w:shd w:fill="EDE8DC"/>
            <w:tcMar>
              <w:top w:w="90" w:type="dxa"/>
              <w:start w:w="120" w:type="dxa"/>
              <w:bottom w:w="90" w:type="dxa"/>
              <w:end w:w="120" w:type="dxa"/>
            </w:tcMar>
            <w:vAlign w:val="center"/>
          </w:tcPr>
          <w:p>
            <w:r>
              <w:rPr>
                <w:rFonts w:ascii="Calibri" w:hAnsi="Calibri"/>
                <w:b/>
                <w:i w:val="0"/>
                <w:color w:val="3B3F6E"/>
                <w:sz w:val="17"/>
              </w:rPr>
              <w:t>POST</w:t>
            </w:r>
          </w:p>
        </w:tc>
        <w:tc>
          <w:tcPr>
            <w:tcW w:type="dxa" w:w="3990"/>
            <w:shd w:fill="EDE8DC"/>
            <w:tcMar>
              <w:top w:w="90" w:type="dxa"/>
              <w:start w:w="120" w:type="dxa"/>
              <w:bottom w:w="90" w:type="dxa"/>
              <w:end w:w="120" w:type="dxa"/>
            </w:tcMar>
            <w:vAlign w:val="center"/>
          </w:tcPr>
          <w:p>
            <w:r>
              <w:rPr>
                <w:rFonts w:ascii="Courier New" w:hAnsi="Courier New"/>
                <w:b w:val="0"/>
                <w:i w:val="0"/>
                <w:color w:val="2B2B2F"/>
                <w:sz w:val="16"/>
              </w:rPr>
              <w:t>/api/messages</w:t>
            </w:r>
          </w:p>
        </w:tc>
        <w:tc>
          <w:tcPr>
            <w:tcW w:type="dxa" w:w="4520"/>
            <w:shd w:fill="EDE8DC"/>
            <w:tcMar>
              <w:top w:w="90" w:type="dxa"/>
              <w:start w:w="120" w:type="dxa"/>
              <w:bottom w:w="90" w:type="dxa"/>
              <w:end w:w="120" w:type="dxa"/>
            </w:tcMar>
            <w:vAlign w:val="center"/>
          </w:tcPr>
          <w:p>
            <w:r>
              <w:rPr>
                <w:rFonts w:ascii="Calibri" w:hAnsi="Calibri"/>
                <w:b w:val="0"/>
                <w:i w:val="0"/>
                <w:color w:val="2B2B2F"/>
                <w:sz w:val="17"/>
              </w:rPr>
              <w:t>Create or continue student/class conversation</w:t>
            </w:r>
          </w:p>
        </w:tc>
      </w:tr>
      <w:tr>
        <w:trPr>
          <w:cantSplit/>
        </w:trPr>
        <w:tc>
          <w:tcPr>
            <w:tcW w:type="dxa" w:w="850"/>
            <w:shd w:fill="F7F1E6"/>
            <w:tcMar>
              <w:top w:w="90" w:type="dxa"/>
              <w:start w:w="120" w:type="dxa"/>
              <w:bottom w:w="90" w:type="dxa"/>
              <w:end w:w="120" w:type="dxa"/>
            </w:tcMar>
            <w:vAlign w:val="center"/>
          </w:tcPr>
          <w:p>
            <w:r>
              <w:rPr>
                <w:rFonts w:ascii="Calibri" w:hAnsi="Calibri"/>
                <w:b/>
                <w:i w:val="0"/>
                <w:color w:val="3B3F6E"/>
                <w:sz w:val="17"/>
              </w:rPr>
              <w:t>POST</w:t>
            </w:r>
          </w:p>
        </w:tc>
        <w:tc>
          <w:tcPr>
            <w:tcW w:type="dxa" w:w="3990"/>
            <w:shd w:fill="F7F1E6"/>
            <w:tcMar>
              <w:top w:w="90" w:type="dxa"/>
              <w:start w:w="120" w:type="dxa"/>
              <w:bottom w:w="90" w:type="dxa"/>
              <w:end w:w="120" w:type="dxa"/>
            </w:tcMar>
            <w:vAlign w:val="center"/>
          </w:tcPr>
          <w:p>
            <w:r>
              <w:rPr>
                <w:rFonts w:ascii="Courier New" w:hAnsi="Courier New"/>
                <w:b w:val="0"/>
                <w:i w:val="0"/>
                <w:color w:val="2B2B2F"/>
                <w:sz w:val="16"/>
              </w:rPr>
              <w:t>/api/baseline/submit</w:t>
            </w:r>
          </w:p>
        </w:tc>
        <w:tc>
          <w:tcPr>
            <w:tcW w:type="dxa" w:w="4520"/>
            <w:shd w:fill="F7F1E6"/>
            <w:tcMar>
              <w:top w:w="90" w:type="dxa"/>
              <w:start w:w="120" w:type="dxa"/>
              <w:bottom w:w="90" w:type="dxa"/>
              <w:end w:w="120" w:type="dxa"/>
            </w:tcMar>
            <w:vAlign w:val="center"/>
          </w:tcPr>
          <w:p>
            <w:r>
              <w:rPr>
                <w:rFonts w:ascii="Calibri" w:hAnsi="Calibri"/>
                <w:b w:val="0"/>
                <w:i w:val="0"/>
                <w:color w:val="2B2B2F"/>
                <w:sz w:val="17"/>
              </w:rPr>
              <w:t>Persist baseline feature summary</w:t>
            </w:r>
          </w:p>
        </w:tc>
      </w:tr>
      <w:tr>
        <w:trPr>
          <w:cantSplit/>
        </w:trPr>
        <w:tc>
          <w:tcPr>
            <w:tcW w:type="dxa" w:w="850"/>
            <w:shd w:fill="EDE8DC"/>
            <w:tcMar>
              <w:top w:w="90" w:type="dxa"/>
              <w:start w:w="120" w:type="dxa"/>
              <w:bottom w:w="90" w:type="dxa"/>
              <w:end w:w="120" w:type="dxa"/>
            </w:tcMar>
            <w:vAlign w:val="center"/>
          </w:tcPr>
          <w:p>
            <w:r>
              <w:rPr>
                <w:rFonts w:ascii="Calibri" w:hAnsi="Calibri"/>
                <w:b/>
                <w:i w:val="0"/>
                <w:color w:val="3B3F6E"/>
                <w:sz w:val="17"/>
              </w:rPr>
              <w:t>GET</w:t>
            </w:r>
          </w:p>
        </w:tc>
        <w:tc>
          <w:tcPr>
            <w:tcW w:type="dxa" w:w="3990"/>
            <w:shd w:fill="EDE8DC"/>
            <w:tcMar>
              <w:top w:w="90" w:type="dxa"/>
              <w:start w:w="120" w:type="dxa"/>
              <w:bottom w:w="90" w:type="dxa"/>
              <w:end w:w="120" w:type="dxa"/>
            </w:tcMar>
            <w:vAlign w:val="center"/>
          </w:tcPr>
          <w:p>
            <w:r>
              <w:rPr>
                <w:rFonts w:ascii="Courier New" w:hAnsi="Courier New"/>
                <w:b w:val="0"/>
                <w:i w:val="0"/>
                <w:color w:val="2B2B2F"/>
                <w:sz w:val="16"/>
              </w:rPr>
              <w:t>/api/baseline/recalibrate-prompt/{student_id}</w:t>
            </w:r>
          </w:p>
        </w:tc>
        <w:tc>
          <w:tcPr>
            <w:tcW w:type="dxa" w:w="4520"/>
            <w:shd w:fill="EDE8DC"/>
            <w:tcMar>
              <w:top w:w="90" w:type="dxa"/>
              <w:start w:w="120" w:type="dxa"/>
              <w:bottom w:w="90" w:type="dxa"/>
              <w:end w:w="120" w:type="dxa"/>
            </w:tcMar>
            <w:vAlign w:val="center"/>
          </w:tcPr>
          <w:p>
            <w:r>
              <w:rPr>
                <w:rFonts w:ascii="Calibri" w:hAnsi="Calibri"/>
                <w:b w:val="0"/>
                <w:i w:val="0"/>
                <w:color w:val="2B2B2F"/>
                <w:sz w:val="17"/>
              </w:rPr>
              <w:t>Next dimension prompt</w:t>
            </w:r>
          </w:p>
        </w:tc>
      </w:tr>
      <w:tr>
        <w:trPr>
          <w:cantSplit/>
        </w:trPr>
        <w:tc>
          <w:tcPr>
            <w:tcW w:type="dxa" w:w="850"/>
            <w:shd w:fill="F7F1E6"/>
            <w:tcMar>
              <w:top w:w="90" w:type="dxa"/>
              <w:start w:w="120" w:type="dxa"/>
              <w:bottom w:w="90" w:type="dxa"/>
              <w:end w:w="120" w:type="dxa"/>
            </w:tcMar>
            <w:vAlign w:val="center"/>
          </w:tcPr>
          <w:p>
            <w:r>
              <w:rPr>
                <w:rFonts w:ascii="Calibri" w:hAnsi="Calibri"/>
                <w:b/>
                <w:i w:val="0"/>
                <w:color w:val="3B3F6E"/>
                <w:sz w:val="17"/>
              </w:rPr>
              <w:t>GET</w:t>
            </w:r>
          </w:p>
        </w:tc>
        <w:tc>
          <w:tcPr>
            <w:tcW w:type="dxa" w:w="3990"/>
            <w:shd w:fill="F7F1E6"/>
            <w:tcMar>
              <w:top w:w="90" w:type="dxa"/>
              <w:start w:w="120" w:type="dxa"/>
              <w:bottom w:w="90" w:type="dxa"/>
              <w:end w:w="120" w:type="dxa"/>
            </w:tcMar>
            <w:vAlign w:val="center"/>
          </w:tcPr>
          <w:p>
            <w:r>
              <w:rPr>
                <w:rFonts w:ascii="Courier New" w:hAnsi="Courier New"/>
                <w:b w:val="0"/>
                <w:i w:val="0"/>
                <w:color w:val="2B2B2F"/>
                <w:sz w:val="16"/>
              </w:rPr>
              <w:t>/api/intelligence/profile/{student_id}</w:t>
            </w:r>
          </w:p>
        </w:tc>
        <w:tc>
          <w:tcPr>
            <w:tcW w:type="dxa" w:w="4520"/>
            <w:shd w:fill="F7F1E6"/>
            <w:tcMar>
              <w:top w:w="90" w:type="dxa"/>
              <w:start w:w="120" w:type="dxa"/>
              <w:bottom w:w="90" w:type="dxa"/>
              <w:end w:w="120" w:type="dxa"/>
            </w:tcMar>
            <w:vAlign w:val="center"/>
          </w:tcPr>
          <w:p>
            <w:r>
              <w:rPr>
                <w:rFonts w:ascii="Calibri" w:hAnsi="Calibri"/>
                <w:b w:val="0"/>
                <w:i w:val="0"/>
                <w:color w:val="2B2B2F"/>
                <w:sz w:val="17"/>
              </w:rPr>
              <w:t>Learner profile compatibility view</w:t>
            </w:r>
          </w:p>
        </w:tc>
      </w:tr>
      <w:tr>
        <w:trPr>
          <w:cantSplit/>
        </w:trPr>
        <w:tc>
          <w:tcPr>
            <w:tcW w:type="dxa" w:w="850"/>
            <w:shd w:fill="EDE8DC"/>
            <w:tcMar>
              <w:top w:w="90" w:type="dxa"/>
              <w:start w:w="120" w:type="dxa"/>
              <w:bottom w:w="90" w:type="dxa"/>
              <w:end w:w="120" w:type="dxa"/>
            </w:tcMar>
            <w:vAlign w:val="center"/>
          </w:tcPr>
          <w:p>
            <w:r>
              <w:rPr>
                <w:rFonts w:ascii="Calibri" w:hAnsi="Calibri"/>
                <w:b/>
                <w:i w:val="0"/>
                <w:color w:val="3B3F6E"/>
                <w:sz w:val="17"/>
              </w:rPr>
              <w:t>GET</w:t>
            </w:r>
          </w:p>
        </w:tc>
        <w:tc>
          <w:tcPr>
            <w:tcW w:type="dxa" w:w="3990"/>
            <w:shd w:fill="EDE8DC"/>
            <w:tcMar>
              <w:top w:w="90" w:type="dxa"/>
              <w:start w:w="120" w:type="dxa"/>
              <w:bottom w:w="90" w:type="dxa"/>
              <w:end w:w="120" w:type="dxa"/>
            </w:tcMar>
            <w:vAlign w:val="center"/>
          </w:tcPr>
          <w:p>
            <w:r>
              <w:rPr>
                <w:rFonts w:ascii="Courier New" w:hAnsi="Courier New"/>
                <w:b w:val="0"/>
                <w:i w:val="0"/>
                <w:color w:val="2B2B2F"/>
                <w:sz w:val="16"/>
              </w:rPr>
              <w:t>/api/intelligence/flags</w:t>
            </w:r>
          </w:p>
        </w:tc>
        <w:tc>
          <w:tcPr>
            <w:tcW w:type="dxa" w:w="4520"/>
            <w:shd w:fill="EDE8DC"/>
            <w:tcMar>
              <w:top w:w="90" w:type="dxa"/>
              <w:start w:w="120" w:type="dxa"/>
              <w:bottom w:w="90" w:type="dxa"/>
              <w:end w:w="120" w:type="dxa"/>
            </w:tcMar>
            <w:vAlign w:val="center"/>
          </w:tcPr>
          <w:p>
            <w:r>
              <w:rPr>
                <w:rFonts w:ascii="Calibri" w:hAnsi="Calibri"/>
                <w:b w:val="0"/>
                <w:i w:val="0"/>
                <w:color w:val="2B2B2F"/>
                <w:sz w:val="17"/>
              </w:rPr>
              <w:t>Flags filtered by student or class</w:t>
            </w:r>
          </w:p>
        </w:tc>
      </w:tr>
      <w:tr>
        <w:trPr>
          <w:cantSplit/>
        </w:trPr>
        <w:tc>
          <w:tcPr>
            <w:tcW w:type="dxa" w:w="850"/>
            <w:shd w:fill="F7F1E6"/>
            <w:tcMar>
              <w:top w:w="90" w:type="dxa"/>
              <w:start w:w="120" w:type="dxa"/>
              <w:bottom w:w="90" w:type="dxa"/>
              <w:end w:w="120" w:type="dxa"/>
            </w:tcMar>
            <w:vAlign w:val="center"/>
          </w:tcPr>
          <w:p>
            <w:r>
              <w:rPr>
                <w:rFonts w:ascii="Calibri" w:hAnsi="Calibri"/>
                <w:b/>
                <w:i w:val="0"/>
                <w:color w:val="3B3F6E"/>
                <w:sz w:val="17"/>
              </w:rPr>
              <w:t>GET</w:t>
            </w:r>
          </w:p>
        </w:tc>
        <w:tc>
          <w:tcPr>
            <w:tcW w:type="dxa" w:w="3990"/>
            <w:shd w:fill="F7F1E6"/>
            <w:tcMar>
              <w:top w:w="90" w:type="dxa"/>
              <w:start w:w="120" w:type="dxa"/>
              <w:bottom w:w="90" w:type="dxa"/>
              <w:end w:w="120" w:type="dxa"/>
            </w:tcMar>
            <w:vAlign w:val="center"/>
          </w:tcPr>
          <w:p>
            <w:r>
              <w:rPr>
                <w:rFonts w:ascii="Courier New" w:hAnsi="Courier New"/>
                <w:b w:val="0"/>
                <w:i w:val="0"/>
                <w:color w:val="2B2B2F"/>
                <w:sz w:val="16"/>
              </w:rPr>
              <w:t>/api/intelligence/recommendations/{student_id}</w:t>
            </w:r>
          </w:p>
        </w:tc>
        <w:tc>
          <w:tcPr>
            <w:tcW w:type="dxa" w:w="4520"/>
            <w:shd w:fill="F7F1E6"/>
            <w:tcMar>
              <w:top w:w="90" w:type="dxa"/>
              <w:start w:w="120" w:type="dxa"/>
              <w:bottom w:w="90" w:type="dxa"/>
              <w:end w:w="120" w:type="dxa"/>
            </w:tcMar>
            <w:vAlign w:val="center"/>
          </w:tcPr>
          <w:p>
            <w:r>
              <w:rPr>
                <w:rFonts w:ascii="Calibri" w:hAnsi="Calibri"/>
                <w:b w:val="0"/>
                <w:i w:val="0"/>
                <w:color w:val="2B2B2F"/>
                <w:sz w:val="17"/>
              </w:rPr>
              <w:t>Intervention recommendations</w:t>
            </w:r>
          </w:p>
        </w:tc>
      </w:tr>
      <w:tr>
        <w:trPr>
          <w:cantSplit/>
        </w:trPr>
        <w:tc>
          <w:tcPr>
            <w:tcW w:type="dxa" w:w="850"/>
            <w:shd w:fill="EDE8DC"/>
            <w:tcMar>
              <w:top w:w="90" w:type="dxa"/>
              <w:start w:w="120" w:type="dxa"/>
              <w:bottom w:w="90" w:type="dxa"/>
              <w:end w:w="120" w:type="dxa"/>
            </w:tcMar>
            <w:vAlign w:val="center"/>
          </w:tcPr>
          <w:p>
            <w:r>
              <w:rPr>
                <w:rFonts w:ascii="Calibri" w:hAnsi="Calibri"/>
                <w:b/>
                <w:i w:val="0"/>
                <w:color w:val="3B3F6E"/>
                <w:sz w:val="17"/>
              </w:rPr>
              <w:t>GET</w:t>
            </w:r>
          </w:p>
        </w:tc>
        <w:tc>
          <w:tcPr>
            <w:tcW w:type="dxa" w:w="3990"/>
            <w:shd w:fill="EDE8DC"/>
            <w:tcMar>
              <w:top w:w="90" w:type="dxa"/>
              <w:start w:w="120" w:type="dxa"/>
              <w:bottom w:w="90" w:type="dxa"/>
              <w:end w:w="120" w:type="dxa"/>
            </w:tcMar>
            <w:vAlign w:val="center"/>
          </w:tcPr>
          <w:p>
            <w:r>
              <w:rPr>
                <w:rFonts w:ascii="Courier New" w:hAnsi="Courier New"/>
                <w:b w:val="0"/>
                <w:i w:val="0"/>
                <w:color w:val="2B2B2F"/>
                <w:sz w:val="16"/>
              </w:rPr>
              <w:t>/api/analytics/schools</w:t>
            </w:r>
          </w:p>
        </w:tc>
        <w:tc>
          <w:tcPr>
            <w:tcW w:type="dxa" w:w="4520"/>
            <w:shd w:fill="EDE8DC"/>
            <w:tcMar>
              <w:top w:w="90" w:type="dxa"/>
              <w:start w:w="120" w:type="dxa"/>
              <w:bottom w:w="90" w:type="dxa"/>
              <w:end w:w="120" w:type="dxa"/>
            </w:tcMar>
            <w:vAlign w:val="center"/>
          </w:tcPr>
          <w:p>
            <w:r>
              <w:rPr>
                <w:rFonts w:ascii="Calibri" w:hAnsi="Calibri"/>
                <w:b w:val="0"/>
                <w:i w:val="0"/>
                <w:color w:val="2B2B2F"/>
                <w:sz w:val="17"/>
              </w:rPr>
              <w:t>School analytics readiness summary</w:t>
            </w:r>
          </w:p>
        </w:tc>
      </w:tr>
      <w:tr>
        <w:trPr>
          <w:cantSplit/>
        </w:trPr>
        <w:tc>
          <w:tcPr>
            <w:tcW w:type="dxa" w:w="850"/>
            <w:shd w:fill="F7F1E6"/>
            <w:tcMar>
              <w:top w:w="90" w:type="dxa"/>
              <w:start w:w="120" w:type="dxa"/>
              <w:bottom w:w="90" w:type="dxa"/>
              <w:end w:w="120" w:type="dxa"/>
            </w:tcMar>
            <w:vAlign w:val="center"/>
          </w:tcPr>
          <w:p>
            <w:r>
              <w:rPr>
                <w:rFonts w:ascii="Calibri" w:hAnsi="Calibri"/>
                <w:b/>
                <w:i w:val="0"/>
                <w:color w:val="3B3F6E"/>
                <w:sz w:val="17"/>
              </w:rPr>
              <w:t>GET</w:t>
            </w:r>
          </w:p>
        </w:tc>
        <w:tc>
          <w:tcPr>
            <w:tcW w:type="dxa" w:w="3990"/>
            <w:shd w:fill="F7F1E6"/>
            <w:tcMar>
              <w:top w:w="90" w:type="dxa"/>
              <w:start w:w="120" w:type="dxa"/>
              <w:bottom w:w="90" w:type="dxa"/>
              <w:end w:w="120" w:type="dxa"/>
            </w:tcMar>
            <w:vAlign w:val="center"/>
          </w:tcPr>
          <w:p>
            <w:r>
              <w:rPr>
                <w:rFonts w:ascii="Courier New" w:hAnsi="Courier New"/>
                <w:b w:val="0"/>
                <w:i w:val="0"/>
                <w:color w:val="2B2B2F"/>
                <w:sz w:val="16"/>
              </w:rPr>
              <w:t>/api/analytics/outcomes</w:t>
            </w:r>
          </w:p>
        </w:tc>
        <w:tc>
          <w:tcPr>
            <w:tcW w:type="dxa" w:w="4520"/>
            <w:shd w:fill="F7F1E6"/>
            <w:tcMar>
              <w:top w:w="90" w:type="dxa"/>
              <w:start w:w="120" w:type="dxa"/>
              <w:bottom w:w="90" w:type="dxa"/>
              <w:end w:w="120" w:type="dxa"/>
            </w:tcMar>
            <w:vAlign w:val="center"/>
          </w:tcPr>
          <w:p>
            <w:r>
              <w:rPr>
                <w:rFonts w:ascii="Calibri" w:hAnsi="Calibri"/>
                <w:b w:val="0"/>
                <w:i w:val="0"/>
                <w:color w:val="2B2B2F"/>
                <w:sz w:val="17"/>
              </w:rPr>
              <w:t>Outcome analytics compatibility response</w:t>
            </w:r>
          </w:p>
        </w:tc>
      </w:tr>
      <w:tr>
        <w:trPr>
          <w:cantSplit/>
        </w:trPr>
        <w:tc>
          <w:tcPr>
            <w:tcW w:type="dxa" w:w="850"/>
            <w:shd w:fill="EDE8DC"/>
            <w:tcMar>
              <w:top w:w="90" w:type="dxa"/>
              <w:start w:w="120" w:type="dxa"/>
              <w:bottom w:w="90" w:type="dxa"/>
              <w:end w:w="120" w:type="dxa"/>
            </w:tcMar>
            <w:vAlign w:val="center"/>
          </w:tcPr>
          <w:p>
            <w:r>
              <w:rPr>
                <w:rFonts w:ascii="Calibri" w:hAnsi="Calibri"/>
                <w:b/>
                <w:i w:val="0"/>
                <w:color w:val="3B3F6E"/>
                <w:sz w:val="17"/>
              </w:rPr>
              <w:t>GET</w:t>
            </w:r>
          </w:p>
        </w:tc>
        <w:tc>
          <w:tcPr>
            <w:tcW w:type="dxa" w:w="3990"/>
            <w:shd w:fill="EDE8DC"/>
            <w:tcMar>
              <w:top w:w="90" w:type="dxa"/>
              <w:start w:w="120" w:type="dxa"/>
              <w:bottom w:w="90" w:type="dxa"/>
              <w:end w:w="120" w:type="dxa"/>
            </w:tcMar>
            <w:vAlign w:val="center"/>
          </w:tcPr>
          <w:p>
            <w:r>
              <w:rPr>
                <w:rFonts w:ascii="Courier New" w:hAnsi="Courier New"/>
                <w:b w:val="0"/>
                <w:i w:val="0"/>
                <w:color w:val="2B2B2F"/>
                <w:sz w:val="16"/>
              </w:rPr>
              <w:t>/api/settings/me</w:t>
            </w:r>
          </w:p>
        </w:tc>
        <w:tc>
          <w:tcPr>
            <w:tcW w:type="dxa" w:w="4520"/>
            <w:shd w:fill="EDE8DC"/>
            <w:tcMar>
              <w:top w:w="90" w:type="dxa"/>
              <w:start w:w="120" w:type="dxa"/>
              <w:bottom w:w="90" w:type="dxa"/>
              <w:end w:w="120" w:type="dxa"/>
            </w:tcMar>
            <w:vAlign w:val="center"/>
          </w:tcPr>
          <w:p>
            <w:r>
              <w:rPr>
                <w:rFonts w:ascii="Calibri" w:hAnsi="Calibri"/>
                <w:b w:val="0"/>
                <w:i w:val="0"/>
                <w:color w:val="2B2B2F"/>
                <w:sz w:val="17"/>
              </w:rPr>
              <w:t>Current persisted user settings</w:t>
            </w:r>
          </w:p>
        </w:tc>
      </w:tr>
      <w:tr>
        <w:trPr>
          <w:cantSplit/>
        </w:trPr>
        <w:tc>
          <w:tcPr>
            <w:tcW w:type="dxa" w:w="850"/>
            <w:shd w:fill="F7F1E6"/>
            <w:tcMar>
              <w:top w:w="90" w:type="dxa"/>
              <w:start w:w="120" w:type="dxa"/>
              <w:bottom w:w="90" w:type="dxa"/>
              <w:end w:w="120" w:type="dxa"/>
            </w:tcMar>
            <w:vAlign w:val="center"/>
          </w:tcPr>
          <w:p>
            <w:r>
              <w:rPr>
                <w:rFonts w:ascii="Calibri" w:hAnsi="Calibri"/>
                <w:b/>
                <w:i w:val="0"/>
                <w:color w:val="3B3F6E"/>
                <w:sz w:val="17"/>
              </w:rPr>
              <w:t>PUT</w:t>
            </w:r>
          </w:p>
        </w:tc>
        <w:tc>
          <w:tcPr>
            <w:tcW w:type="dxa" w:w="3990"/>
            <w:shd w:fill="F7F1E6"/>
            <w:tcMar>
              <w:top w:w="90" w:type="dxa"/>
              <w:start w:w="120" w:type="dxa"/>
              <w:bottom w:w="90" w:type="dxa"/>
              <w:end w:w="120" w:type="dxa"/>
            </w:tcMar>
            <w:vAlign w:val="center"/>
          </w:tcPr>
          <w:p>
            <w:r>
              <w:rPr>
                <w:rFonts w:ascii="Courier New" w:hAnsi="Courier New"/>
                <w:b w:val="0"/>
                <w:i w:val="0"/>
                <w:color w:val="2B2B2F"/>
                <w:sz w:val="16"/>
              </w:rPr>
              <w:t>/api/settings/me</w:t>
            </w:r>
          </w:p>
        </w:tc>
        <w:tc>
          <w:tcPr>
            <w:tcW w:type="dxa" w:w="4520"/>
            <w:shd w:fill="F7F1E6"/>
            <w:tcMar>
              <w:top w:w="90" w:type="dxa"/>
              <w:start w:w="120" w:type="dxa"/>
              <w:bottom w:w="90" w:type="dxa"/>
              <w:end w:w="120" w:type="dxa"/>
            </w:tcMar>
            <w:vAlign w:val="center"/>
          </w:tcPr>
          <w:p>
            <w:r>
              <w:rPr>
                <w:rFonts w:ascii="Calibri" w:hAnsi="Calibri"/>
                <w:b w:val="0"/>
                <w:i w:val="0"/>
                <w:color w:val="2B2B2F"/>
                <w:sz w:val="17"/>
              </w:rPr>
              <w:t>Merge and persist user settings</w:t>
            </w:r>
          </w:p>
        </w:tc>
      </w:tr>
      <w:tr>
        <w:trPr>
          <w:cantSplit/>
        </w:trPr>
        <w:tc>
          <w:tcPr>
            <w:tcW w:type="dxa" w:w="850"/>
            <w:shd w:fill="EDE8DC"/>
            <w:tcMar>
              <w:top w:w="90" w:type="dxa"/>
              <w:start w:w="120" w:type="dxa"/>
              <w:bottom w:w="90" w:type="dxa"/>
              <w:end w:w="120" w:type="dxa"/>
            </w:tcMar>
            <w:vAlign w:val="center"/>
          </w:tcPr>
          <w:p>
            <w:r>
              <w:rPr>
                <w:rFonts w:ascii="Calibri" w:hAnsi="Calibri"/>
                <w:b/>
                <w:i w:val="0"/>
                <w:color w:val="3B3F6E"/>
                <w:sz w:val="17"/>
              </w:rPr>
              <w:t>POST</w:t>
            </w:r>
          </w:p>
        </w:tc>
        <w:tc>
          <w:tcPr>
            <w:tcW w:type="dxa" w:w="3990"/>
            <w:shd w:fill="EDE8DC"/>
            <w:tcMar>
              <w:top w:w="90" w:type="dxa"/>
              <w:start w:w="120" w:type="dxa"/>
              <w:bottom w:w="90" w:type="dxa"/>
              <w:end w:w="120" w:type="dxa"/>
            </w:tcMar>
            <w:vAlign w:val="center"/>
          </w:tcPr>
          <w:p>
            <w:r>
              <w:rPr>
                <w:rFonts w:ascii="Courier New" w:hAnsi="Courier New"/>
                <w:b w:val="0"/>
                <w:i w:val="0"/>
                <w:color w:val="2B2B2F"/>
                <w:sz w:val="16"/>
              </w:rPr>
              <w:t>/api/v1/auth/forgot-password</w:t>
            </w:r>
          </w:p>
        </w:tc>
        <w:tc>
          <w:tcPr>
            <w:tcW w:type="dxa" w:w="4520"/>
            <w:shd w:fill="EDE8DC"/>
            <w:tcMar>
              <w:top w:w="90" w:type="dxa"/>
              <w:start w:w="120" w:type="dxa"/>
              <w:bottom w:w="90" w:type="dxa"/>
              <w:end w:w="120" w:type="dxa"/>
            </w:tcMar>
            <w:vAlign w:val="center"/>
          </w:tcPr>
          <w:p>
            <w:r>
              <w:rPr>
                <w:rFonts w:ascii="Calibri" w:hAnsi="Calibri"/>
                <w:b w:val="0"/>
                <w:i w:val="0"/>
                <w:color w:val="2B2B2F"/>
                <w:sz w:val="17"/>
              </w:rPr>
              <w:t>Generic password-reset receipt</w:t>
            </w:r>
          </w:p>
        </w:tc>
      </w:tr>
      <w:tr>
        <w:trPr>
          <w:cantSplit/>
        </w:trPr>
        <w:tc>
          <w:tcPr>
            <w:tcW w:type="dxa" w:w="850"/>
            <w:shd w:fill="F7F1E6"/>
            <w:tcMar>
              <w:top w:w="90" w:type="dxa"/>
              <w:start w:w="120" w:type="dxa"/>
              <w:bottom w:w="90" w:type="dxa"/>
              <w:end w:w="120" w:type="dxa"/>
            </w:tcMar>
            <w:vAlign w:val="center"/>
          </w:tcPr>
          <w:p>
            <w:r>
              <w:rPr>
                <w:rFonts w:ascii="Calibri" w:hAnsi="Calibri"/>
                <w:b/>
                <w:i w:val="0"/>
                <w:color w:val="3B3F6E"/>
                <w:sz w:val="17"/>
              </w:rPr>
              <w:t>POST</w:t>
            </w:r>
          </w:p>
        </w:tc>
        <w:tc>
          <w:tcPr>
            <w:tcW w:type="dxa" w:w="3990"/>
            <w:shd w:fill="F7F1E6"/>
            <w:tcMar>
              <w:top w:w="90" w:type="dxa"/>
              <w:start w:w="120" w:type="dxa"/>
              <w:bottom w:w="90" w:type="dxa"/>
              <w:end w:w="120" w:type="dxa"/>
            </w:tcMar>
            <w:vAlign w:val="center"/>
          </w:tcPr>
          <w:p>
            <w:r>
              <w:rPr>
                <w:rFonts w:ascii="Courier New" w:hAnsi="Courier New"/>
                <w:b w:val="0"/>
                <w:i w:val="0"/>
                <w:color w:val="2B2B2F"/>
                <w:sz w:val="16"/>
              </w:rPr>
              <w:t>/api/v1/auth/password-reset/request</w:t>
            </w:r>
          </w:p>
        </w:tc>
        <w:tc>
          <w:tcPr>
            <w:tcW w:type="dxa" w:w="4520"/>
            <w:shd w:fill="F7F1E6"/>
            <w:tcMar>
              <w:top w:w="90" w:type="dxa"/>
              <w:start w:w="120" w:type="dxa"/>
              <w:bottom w:w="90" w:type="dxa"/>
              <w:end w:w="120" w:type="dxa"/>
            </w:tcMar>
            <w:vAlign w:val="center"/>
          </w:tcPr>
          <w:p>
            <w:r>
              <w:rPr>
                <w:rFonts w:ascii="Calibri" w:hAnsi="Calibri"/>
                <w:b w:val="0"/>
                <w:i w:val="0"/>
                <w:color w:val="2B2B2F"/>
                <w:sz w:val="17"/>
              </w:rPr>
              <w:t>Password-reset request alias</w:t>
            </w:r>
          </w:p>
        </w:tc>
      </w:tr>
    </w:tbl>
    <w:p>
      <w:pPr>
        <w:pStyle w:val="Heading1"/>
      </w:pPr>
      <w:r>
        <w:t>3. Important Payload Notes</w:t>
      </w:r>
    </w:p>
    <w:p>
      <w:pPr>
        <w:pStyle w:val="Heading2"/>
      </w:pPr>
      <w:r>
        <w:t>Class roster</w:t>
      </w:r>
    </w:p>
    <w:p>
      <w:r>
        <w:rPr>
          <w:rFonts w:ascii="Calibri" w:hAnsi="Calibri"/>
          <w:b w:val="0"/>
          <w:i w:val="0"/>
          <w:color w:val="2B2B2F"/>
          <w:sz w:val="21"/>
        </w:rPr>
        <w:t>Each student row includes student_id, first_name, last_name, display_name, login_identifier, status, profileStatus, and latestSessionAt. The existing teacher-class assignment route retains its original snake_case response contract.</w:t>
      </w:r>
    </w:p>
    <w:p>
      <w:pPr>
        <w:pStyle w:val="Heading2"/>
      </w:pPr>
      <w:r>
        <w:t>Mastery</w:t>
      </w:r>
    </w:p>
    <w:p>
      <w:r>
        <w:rPr>
          <w:rFonts w:ascii="Calibri" w:hAnsi="Calibri"/>
          <w:b w:val="0"/>
          <w:i w:val="0"/>
          <w:color w:val="2B2B2F"/>
          <w:sz w:val="21"/>
        </w:rPr>
        <w:t>Mastery state and aggregate responses now include conceptName. Frontend code should display that field and retain conceptId as the stable key.</w:t>
      </w:r>
    </w:p>
    <w:p>
      <w:pPr>
        <w:pStyle w:val="Heading2"/>
      </w:pPr>
      <w:r>
        <w:t>Lesson upload</w:t>
      </w:r>
    </w:p>
    <w:p>
      <w:r>
        <w:rPr>
          <w:rFonts w:ascii="Calibri" w:hAnsi="Calibri"/>
          <w:b w:val="0"/>
          <w:i w:val="0"/>
          <w:color w:val="2B2B2F"/>
          <w:sz w:val="21"/>
        </w:rPr>
        <w:t>Send multipart/form-data with a single file field named file. The backend extracts readable text, records filename/content type/byte length, and submits it to the content parser. Unreadable or unsupported files return HTTP 400 with a functional error message.</w:t>
      </w:r>
    </w:p>
    <w:p>
      <w:pPr>
        <w:pStyle w:val="Heading2"/>
      </w:pPr>
      <w:r>
        <w:t>Lesson assignment</w:t>
      </w:r>
    </w:p>
    <w:p>
      <w:r>
        <w:rPr>
          <w:rFonts w:ascii="Calibri" w:hAnsi="Calibri"/>
          <w:b w:val="0"/>
          <w:i w:val="0"/>
          <w:color w:val="2B2B2F"/>
          <w:sz w:val="21"/>
        </w:rPr>
        <w:t>Request fields are lessonId, optional classId, optional studentIds, and optional dueAt. When classId is supplied, current enrollments are expanded server-side. The response returns assignmentIds and createdCount.</w:t>
      </w:r>
    </w:p>
    <w:p>
      <w:pPr>
        <w:pStyle w:val="Heading2"/>
      </w:pPr>
      <w:r>
        <w:t>Messaging</w:t>
      </w:r>
    </w:p>
    <w:p>
      <w:r>
        <w:rPr>
          <w:rFonts w:ascii="Calibri" w:hAnsi="Calibri"/>
          <w:b w:val="0"/>
          <w:i w:val="0"/>
          <w:color w:val="2B2B2F"/>
          <w:sz w:val="21"/>
        </w:rPr>
        <w:t>POST /api/messages accepts recipientId, recipientType (student or class), and content. The backend finds or creates the matching school-scoped thread, updates its preview, and returns the new message.</w:t>
      </w:r>
    </w:p>
    <w:p>
      <w:pPr>
        <w:pStyle w:val="Heading2"/>
      </w:pPr>
      <w:r>
        <w:t>Password reset</w:t>
      </w:r>
    </w:p>
    <w:p>
      <w:r>
        <w:rPr>
          <w:rFonts w:ascii="Calibri" w:hAnsi="Calibri"/>
          <w:b w:val="0"/>
          <w:i w:val="0"/>
          <w:color w:val="2B2B2F"/>
          <w:sz w:val="21"/>
        </w:rPr>
        <w:t>The request route always returns a generic accepted receipt to avoid account enumeration. It creates a hashed, expiring reset token record for known eligible users. Email delivery and the final token-consumption screen remain deployment/integration responsibilities.</w:t>
      </w:r>
    </w:p>
    <w:p>
      <w:pPr>
        <w:pStyle w:val="Heading1"/>
      </w:pPr>
      <w:r>
        <w:t>4. Persistence and Migration</w:t>
      </w:r>
    </w:p>
    <w:p>
      <w:r>
        <w:rPr>
          <w:rFonts w:ascii="Calibri" w:hAnsi="Calibri"/>
          <w:b w:val="0"/>
          <w:i w:val="0"/>
          <w:color w:val="2B2B2F"/>
          <w:sz w:val="21"/>
        </w:rPr>
        <w:t>Migration 0028 adds the persistence needed by these screens without replacing existing domain tables. It has already been applied to the configured Supabase database.</w:t>
      </w:r>
    </w:p>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shd w:fill="EDE8DC"/>
            <w:tcMar>
              <w:top w:w="90" w:type="dxa"/>
              <w:start w:w="120" w:type="dxa"/>
              <w:bottom w:w="90" w:type="dxa"/>
              <w:end w:w="120" w:type="dxa"/>
            </w:tcMar>
            <w:vAlign w:val="center"/>
          </w:tcPr>
          <w:p>
            <w:r>
              <w:rPr>
                <w:rFonts w:ascii="Calibri" w:hAnsi="Calibri"/>
                <w:b/>
                <w:i w:val="0"/>
                <w:color w:val="3B3F6E"/>
                <w:sz w:val="18"/>
              </w:rPr>
              <w:t>concepts</w:t>
            </w:r>
          </w:p>
        </w:tc>
        <w:tc>
          <w:tcPr>
            <w:tcW w:type="dxa" w:w="7160"/>
            <w:shd w:fill="EDE8DC"/>
            <w:tcMar>
              <w:top w:w="90" w:type="dxa"/>
              <w:start w:w="120" w:type="dxa"/>
              <w:bottom w:w="90" w:type="dxa"/>
              <w:end w:w="120" w:type="dxa"/>
            </w:tcMar>
            <w:vAlign w:val="center"/>
          </w:tcPr>
          <w:p>
            <w:r>
              <w:rPr>
                <w:rFonts w:ascii="Calibri" w:hAnsi="Calibri"/>
                <w:b w:val="0"/>
                <w:i w:val="0"/>
                <w:color w:val="2B2B2F"/>
                <w:sz w:val="18"/>
              </w:rPr>
              <w:t>Human-readable concept metadata used by mastery and scheduler views</w:t>
            </w:r>
          </w:p>
        </w:tc>
      </w:tr>
      <w:tr>
        <w:trPr>
          <w:cantSplit/>
        </w:trPr>
        <w:tc>
          <w:tcPr>
            <w:tcW w:type="dxa" w:w="2200"/>
            <w:shd w:fill="F7F1E6"/>
            <w:tcMar>
              <w:top w:w="90" w:type="dxa"/>
              <w:start w:w="120" w:type="dxa"/>
              <w:bottom w:w="90" w:type="dxa"/>
              <w:end w:w="120" w:type="dxa"/>
            </w:tcMar>
            <w:vAlign w:val="center"/>
          </w:tcPr>
          <w:p>
            <w:r>
              <w:rPr>
                <w:rFonts w:ascii="Calibri" w:hAnsi="Calibri"/>
                <w:b/>
                <w:i w:val="0"/>
                <w:color w:val="3B3F6E"/>
                <w:sz w:val="18"/>
              </w:rPr>
              <w:t>notifications</w:t>
            </w:r>
          </w:p>
        </w:tc>
        <w:tc>
          <w:tcPr>
            <w:tcW w:type="dxa" w:w="7160"/>
            <w:shd w:fill="F7F1E6"/>
            <w:tcMar>
              <w:top w:w="90" w:type="dxa"/>
              <w:start w:w="120" w:type="dxa"/>
              <w:bottom w:w="90" w:type="dxa"/>
              <w:end w:w="120" w:type="dxa"/>
            </w:tcMar>
            <w:vAlign w:val="center"/>
          </w:tcPr>
          <w:p>
            <w:r>
              <w:rPr>
                <w:rFonts w:ascii="Calibri" w:hAnsi="Calibri"/>
                <w:b w:val="0"/>
                <w:i w:val="0"/>
                <w:color w:val="2B2B2F"/>
                <w:sz w:val="18"/>
              </w:rPr>
              <w:t>User-scoped notification feed and read state</w:t>
            </w:r>
          </w:p>
        </w:tc>
      </w:tr>
      <w:tr>
        <w:trPr>
          <w:cantSplit/>
        </w:trPr>
        <w:tc>
          <w:tcPr>
            <w:tcW w:type="dxa" w:w="2200"/>
            <w:shd w:fill="EDE8DC"/>
            <w:tcMar>
              <w:top w:w="90" w:type="dxa"/>
              <w:start w:w="120" w:type="dxa"/>
              <w:bottom w:w="90" w:type="dxa"/>
              <w:end w:w="120" w:type="dxa"/>
            </w:tcMar>
            <w:vAlign w:val="center"/>
          </w:tcPr>
          <w:p>
            <w:r>
              <w:rPr>
                <w:rFonts w:ascii="Calibri" w:hAnsi="Calibri"/>
                <w:b/>
                <w:i w:val="0"/>
                <w:color w:val="3B3F6E"/>
                <w:sz w:val="18"/>
              </w:rPr>
              <w:t>message_threads</w:t>
            </w:r>
          </w:p>
        </w:tc>
        <w:tc>
          <w:tcPr>
            <w:tcW w:type="dxa" w:w="7160"/>
            <w:shd w:fill="EDE8DC"/>
            <w:tcMar>
              <w:top w:w="90" w:type="dxa"/>
              <w:start w:w="120" w:type="dxa"/>
              <w:bottom w:w="90" w:type="dxa"/>
              <w:end w:w="120" w:type="dxa"/>
            </w:tcMar>
            <w:vAlign w:val="center"/>
          </w:tcPr>
          <w:p>
            <w:r>
              <w:rPr>
                <w:rFonts w:ascii="Calibri" w:hAnsi="Calibri"/>
                <w:b w:val="0"/>
                <w:i w:val="0"/>
                <w:color w:val="2B2B2F"/>
                <w:sz w:val="18"/>
              </w:rPr>
              <w:t>School-scoped Connect conversation metadata</w:t>
            </w:r>
          </w:p>
        </w:tc>
      </w:tr>
      <w:tr>
        <w:trPr>
          <w:cantSplit/>
        </w:trPr>
        <w:tc>
          <w:tcPr>
            <w:tcW w:type="dxa" w:w="2200"/>
            <w:shd w:fill="F7F1E6"/>
            <w:tcMar>
              <w:top w:w="90" w:type="dxa"/>
              <w:start w:w="120" w:type="dxa"/>
              <w:bottom w:w="90" w:type="dxa"/>
              <w:end w:w="120" w:type="dxa"/>
            </w:tcMar>
            <w:vAlign w:val="center"/>
          </w:tcPr>
          <w:p>
            <w:r>
              <w:rPr>
                <w:rFonts w:ascii="Calibri" w:hAnsi="Calibri"/>
                <w:b/>
                <w:i w:val="0"/>
                <w:color w:val="3B3F6E"/>
                <w:sz w:val="18"/>
              </w:rPr>
              <w:t>messages</w:t>
            </w:r>
          </w:p>
        </w:tc>
        <w:tc>
          <w:tcPr>
            <w:tcW w:type="dxa" w:w="7160"/>
            <w:shd w:fill="F7F1E6"/>
            <w:tcMar>
              <w:top w:w="90" w:type="dxa"/>
              <w:start w:w="120" w:type="dxa"/>
              <w:bottom w:w="90" w:type="dxa"/>
              <w:end w:w="120" w:type="dxa"/>
            </w:tcMar>
            <w:vAlign w:val="center"/>
          </w:tcPr>
          <w:p>
            <w:r>
              <w:rPr>
                <w:rFonts w:ascii="Calibri" w:hAnsi="Calibri"/>
                <w:b w:val="0"/>
                <w:i w:val="0"/>
                <w:color w:val="2B2B2F"/>
                <w:sz w:val="18"/>
              </w:rPr>
              <w:t>Chronological thread messages</w:t>
            </w:r>
          </w:p>
        </w:tc>
      </w:tr>
      <w:tr>
        <w:trPr>
          <w:cantSplit/>
        </w:trPr>
        <w:tc>
          <w:tcPr>
            <w:tcW w:type="dxa" w:w="2200"/>
            <w:shd w:fill="EDE8DC"/>
            <w:tcMar>
              <w:top w:w="90" w:type="dxa"/>
              <w:start w:w="120" w:type="dxa"/>
              <w:bottom w:w="90" w:type="dxa"/>
              <w:end w:w="120" w:type="dxa"/>
            </w:tcMar>
            <w:vAlign w:val="center"/>
          </w:tcPr>
          <w:p>
            <w:r>
              <w:rPr>
                <w:rFonts w:ascii="Calibri" w:hAnsi="Calibri"/>
                <w:b/>
                <w:i w:val="0"/>
                <w:color w:val="3B3F6E"/>
                <w:sz w:val="18"/>
              </w:rPr>
              <w:t>lesson_assignments</w:t>
            </w:r>
          </w:p>
        </w:tc>
        <w:tc>
          <w:tcPr>
            <w:tcW w:type="dxa" w:w="7160"/>
            <w:shd w:fill="EDE8DC"/>
            <w:tcMar>
              <w:top w:w="90" w:type="dxa"/>
              <w:start w:w="120" w:type="dxa"/>
              <w:bottom w:w="90" w:type="dxa"/>
              <w:end w:w="120" w:type="dxa"/>
            </w:tcMar>
            <w:vAlign w:val="center"/>
          </w:tcPr>
          <w:p>
            <w:r>
              <w:rPr>
                <w:rFonts w:ascii="Calibri" w:hAnsi="Calibri"/>
                <w:b w:val="0"/>
                <w:i w:val="0"/>
                <w:color w:val="2B2B2F"/>
                <w:sz w:val="18"/>
              </w:rPr>
              <w:t>Teacher-to-student/class lesson assignment records</w:t>
            </w:r>
          </w:p>
        </w:tc>
      </w:tr>
      <w:tr>
        <w:trPr>
          <w:cantSplit/>
        </w:trPr>
        <w:tc>
          <w:tcPr>
            <w:tcW w:type="dxa" w:w="2200"/>
            <w:shd w:fill="F7F1E6"/>
            <w:tcMar>
              <w:top w:w="90" w:type="dxa"/>
              <w:start w:w="120" w:type="dxa"/>
              <w:bottom w:w="90" w:type="dxa"/>
              <w:end w:w="120" w:type="dxa"/>
            </w:tcMar>
            <w:vAlign w:val="center"/>
          </w:tcPr>
          <w:p>
            <w:r>
              <w:rPr>
                <w:rFonts w:ascii="Calibri" w:hAnsi="Calibri"/>
                <w:b/>
                <w:i w:val="0"/>
                <w:color w:val="3B3F6E"/>
                <w:sz w:val="18"/>
              </w:rPr>
              <w:t>password_reset_tokens</w:t>
            </w:r>
          </w:p>
        </w:tc>
        <w:tc>
          <w:tcPr>
            <w:tcW w:type="dxa" w:w="7160"/>
            <w:shd w:fill="F7F1E6"/>
            <w:tcMar>
              <w:top w:w="90" w:type="dxa"/>
              <w:start w:w="120" w:type="dxa"/>
              <w:bottom w:w="90" w:type="dxa"/>
              <w:end w:w="120" w:type="dxa"/>
            </w:tcMar>
            <w:vAlign w:val="center"/>
          </w:tcPr>
          <w:p>
            <w:r>
              <w:rPr>
                <w:rFonts w:ascii="Calibri" w:hAnsi="Calibri"/>
                <w:b w:val="0"/>
                <w:i w:val="0"/>
                <w:color w:val="2B2B2F"/>
                <w:sz w:val="18"/>
              </w:rPr>
              <w:t>Hashed, expiring, single-use reset-token records</w:t>
            </w:r>
          </w:p>
        </w:tc>
      </w:tr>
      <w:tr>
        <w:trPr>
          <w:cantSplit/>
        </w:trPr>
        <w:tc>
          <w:tcPr>
            <w:tcW w:type="dxa" w:w="2200"/>
            <w:shd w:fill="EDE8DC"/>
            <w:tcMar>
              <w:top w:w="90" w:type="dxa"/>
              <w:start w:w="120" w:type="dxa"/>
              <w:bottom w:w="90" w:type="dxa"/>
              <w:end w:w="120" w:type="dxa"/>
            </w:tcMar>
            <w:vAlign w:val="center"/>
          </w:tcPr>
          <w:p>
            <w:r>
              <w:rPr>
                <w:rFonts w:ascii="Calibri" w:hAnsi="Calibri"/>
                <w:b/>
                <w:i w:val="0"/>
                <w:color w:val="3B3F6E"/>
                <w:sz w:val="18"/>
              </w:rPr>
              <w:t>users.baseline_profile</w:t>
            </w:r>
          </w:p>
        </w:tc>
        <w:tc>
          <w:tcPr>
            <w:tcW w:type="dxa" w:w="7160"/>
            <w:shd w:fill="EDE8DC"/>
            <w:tcMar>
              <w:top w:w="90" w:type="dxa"/>
              <w:start w:w="120" w:type="dxa"/>
              <w:bottom w:w="90" w:type="dxa"/>
              <w:end w:w="120" w:type="dxa"/>
            </w:tcMar>
            <w:vAlign w:val="center"/>
          </w:tcPr>
          <w:p>
            <w:r>
              <w:rPr>
                <w:rFonts w:ascii="Calibri" w:hAnsi="Calibri"/>
                <w:b w:val="0"/>
                <w:i w:val="0"/>
                <w:color w:val="2B2B2F"/>
                <w:sz w:val="18"/>
              </w:rPr>
              <w:t>Aggregated baseline/profile and settings JSONB state</w:t>
            </w:r>
          </w:p>
        </w:tc>
      </w:tr>
    </w:tbl>
    <w:p>
      <w:pPr>
        <w:spacing w:before="160"/>
      </w:pPr>
      <w:r>
        <w:rPr>
          <w:rFonts w:ascii="Calibri" w:hAnsi="Calibri"/>
          <w:b w:val="0"/>
          <w:i w:val="0"/>
          <w:color w:val="2B2B2F"/>
          <w:sz w:val="21"/>
        </w:rPr>
        <w:t>Migration 0027 was also corrected to render through Alembic offline mode. This removes a MockConnection failure that previously caused every migration snapshot test to fail while leaving the live schema behavior unchanged.</w:t>
      </w:r>
    </w:p>
    <w:p>
      <w:r>
        <w:br w:type="page"/>
      </w:r>
    </w:p>
    <w:p>
      <w:pPr>
        <w:pStyle w:val="Heading1"/>
      </w:pPr>
      <w:r>
        <w:t>5. Demo Data and Manual Test Setup</w:t>
      </w:r>
    </w:p>
    <w:p>
      <w:r>
        <w:rPr>
          <w:rFonts w:ascii="Calibri" w:hAnsi="Calibri"/>
          <w:b w:val="0"/>
          <w:i w:val="0"/>
          <w:color w:val="2B2B2F"/>
          <w:sz w:val="21"/>
        </w:rPr>
        <w:t>The idempotent seed script is scripts/seed_demo_teacher_console.py. It can be rerun safely and accepts optional environment variables for credential resets. No passwords, PINs, database URLs, peppers, or provider keys are stored in the repository or this handoff.</w:t>
      </w:r>
    </w:p>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shd w:fill="EDE8DC"/>
            <w:tcMar>
              <w:top w:w="90" w:type="dxa"/>
              <w:start w:w="120" w:type="dxa"/>
              <w:bottom w:w="90" w:type="dxa"/>
              <w:end w:w="120" w:type="dxa"/>
            </w:tcMar>
            <w:vAlign w:val="center"/>
          </w:tcPr>
          <w:p>
            <w:r>
              <w:rPr>
                <w:rFonts w:ascii="Calibri" w:hAnsi="Calibri"/>
                <w:b/>
                <w:i w:val="0"/>
                <w:color w:val="3B3F6E"/>
                <w:sz w:val="18"/>
              </w:rPr>
              <w:t>School</w:t>
            </w:r>
          </w:p>
        </w:tc>
        <w:tc>
          <w:tcPr>
            <w:tcW w:type="dxa" w:w="7160"/>
            <w:shd w:fill="EDE8DC"/>
            <w:tcMar>
              <w:top w:w="90" w:type="dxa"/>
              <w:start w:w="120" w:type="dxa"/>
              <w:bottom w:w="90" w:type="dxa"/>
              <w:end w:w="120" w:type="dxa"/>
            </w:tcMar>
            <w:vAlign w:val="center"/>
          </w:tcPr>
          <w:p>
            <w:r>
              <w:rPr>
                <w:rFonts w:ascii="Calibri" w:hAnsi="Calibri"/>
                <w:b w:val="0"/>
                <w:i w:val="0"/>
                <w:color w:val="2B2B2F"/>
                <w:sz w:val="18"/>
              </w:rPr>
              <w:t>Nevo Demo School (school code NEVO-DEMO)</w:t>
            </w:r>
          </w:p>
        </w:tc>
      </w:tr>
      <w:tr>
        <w:trPr>
          <w:cantSplit/>
        </w:trPr>
        <w:tc>
          <w:tcPr>
            <w:tcW w:type="dxa" w:w="2200"/>
            <w:shd w:fill="F7F1E6"/>
            <w:tcMar>
              <w:top w:w="90" w:type="dxa"/>
              <w:start w:w="120" w:type="dxa"/>
              <w:bottom w:w="90" w:type="dxa"/>
              <w:end w:w="120" w:type="dxa"/>
            </w:tcMar>
            <w:vAlign w:val="center"/>
          </w:tcPr>
          <w:p>
            <w:r>
              <w:rPr>
                <w:rFonts w:ascii="Calibri" w:hAnsi="Calibri"/>
                <w:b/>
                <w:i w:val="0"/>
                <w:color w:val="3B3F6E"/>
                <w:sz w:val="18"/>
              </w:rPr>
              <w:t>Class</w:t>
            </w:r>
          </w:p>
        </w:tc>
        <w:tc>
          <w:tcPr>
            <w:tcW w:type="dxa" w:w="7160"/>
            <w:shd w:fill="F7F1E6"/>
            <w:tcMar>
              <w:top w:w="90" w:type="dxa"/>
              <w:start w:w="120" w:type="dxa"/>
              <w:bottom w:w="90" w:type="dxa"/>
              <w:end w:w="120" w:type="dxa"/>
            </w:tcMar>
            <w:vAlign w:val="center"/>
          </w:tcPr>
          <w:p>
            <w:r>
              <w:rPr>
                <w:rFonts w:ascii="Calibri" w:hAnsi="Calibri"/>
                <w:b w:val="0"/>
                <w:i w:val="0"/>
                <w:color w:val="2B2B2F"/>
                <w:sz w:val="18"/>
              </w:rPr>
              <w:t>JSS 2A</w:t>
            </w:r>
          </w:p>
        </w:tc>
      </w:tr>
      <w:tr>
        <w:trPr>
          <w:cantSplit/>
        </w:trPr>
        <w:tc>
          <w:tcPr>
            <w:tcW w:type="dxa" w:w="2200"/>
            <w:shd w:fill="EDE8DC"/>
            <w:tcMar>
              <w:top w:w="90" w:type="dxa"/>
              <w:start w:w="120" w:type="dxa"/>
              <w:bottom w:w="90" w:type="dxa"/>
              <w:end w:w="120" w:type="dxa"/>
            </w:tcMar>
            <w:vAlign w:val="center"/>
          </w:tcPr>
          <w:p>
            <w:r>
              <w:rPr>
                <w:rFonts w:ascii="Calibri" w:hAnsi="Calibri"/>
                <w:b/>
                <w:i w:val="0"/>
                <w:color w:val="3B3F6E"/>
                <w:sz w:val="18"/>
              </w:rPr>
              <w:t>Teacher</w:t>
            </w:r>
          </w:p>
        </w:tc>
        <w:tc>
          <w:tcPr>
            <w:tcW w:type="dxa" w:w="7160"/>
            <w:shd w:fill="EDE8DC"/>
            <w:tcMar>
              <w:top w:w="90" w:type="dxa"/>
              <w:start w:w="120" w:type="dxa"/>
              <w:bottom w:w="90" w:type="dxa"/>
              <w:end w:w="120" w:type="dxa"/>
            </w:tcMar>
            <w:vAlign w:val="center"/>
          </w:tcPr>
          <w:p>
            <w:r>
              <w:rPr>
                <w:rFonts w:ascii="Calibri" w:hAnsi="Calibri"/>
                <w:b w:val="0"/>
                <w:i w:val="0"/>
                <w:color w:val="2B2B2F"/>
                <w:sz w:val="18"/>
              </w:rPr>
              <w:t>Linked as primary teacher for JSS 2A</w:t>
            </w:r>
          </w:p>
        </w:tc>
      </w:tr>
      <w:tr>
        <w:trPr>
          <w:cantSplit/>
        </w:trPr>
        <w:tc>
          <w:tcPr>
            <w:tcW w:type="dxa" w:w="2200"/>
            <w:shd w:fill="F7F1E6"/>
            <w:tcMar>
              <w:top w:w="90" w:type="dxa"/>
              <w:start w:w="120" w:type="dxa"/>
              <w:bottom w:w="90" w:type="dxa"/>
              <w:end w:w="120" w:type="dxa"/>
            </w:tcMar>
            <w:vAlign w:val="center"/>
          </w:tcPr>
          <w:p>
            <w:r>
              <w:rPr>
                <w:rFonts w:ascii="Calibri" w:hAnsi="Calibri"/>
                <w:b/>
                <w:i w:val="0"/>
                <w:color w:val="3B3F6E"/>
                <w:sz w:val="18"/>
              </w:rPr>
              <w:t>Students</w:t>
            </w:r>
          </w:p>
        </w:tc>
        <w:tc>
          <w:tcPr>
            <w:tcW w:type="dxa" w:w="7160"/>
            <w:shd w:fill="F7F1E6"/>
            <w:tcMar>
              <w:top w:w="90" w:type="dxa"/>
              <w:start w:w="120" w:type="dxa"/>
              <w:bottom w:w="90" w:type="dxa"/>
              <w:end w:w="120" w:type="dxa"/>
            </w:tcMar>
            <w:vAlign w:val="center"/>
          </w:tcPr>
          <w:p>
            <w:r>
              <w:rPr>
                <w:rFonts w:ascii="Calibri" w:hAnsi="Calibri"/>
                <w:b w:val="0"/>
                <w:i w:val="0"/>
                <w:color w:val="2B2B2F"/>
                <w:sz w:val="18"/>
              </w:rPr>
              <w:t>Amara Okafor, Kofi Dada, and Dara Ibrahim</w:t>
            </w:r>
          </w:p>
        </w:tc>
      </w:tr>
      <w:tr>
        <w:trPr>
          <w:cantSplit/>
        </w:trPr>
        <w:tc>
          <w:tcPr>
            <w:tcW w:type="dxa" w:w="2200"/>
            <w:shd w:fill="EDE8DC"/>
            <w:tcMar>
              <w:top w:w="90" w:type="dxa"/>
              <w:start w:w="120" w:type="dxa"/>
              <w:bottom w:w="90" w:type="dxa"/>
              <w:end w:w="120" w:type="dxa"/>
            </w:tcMar>
            <w:vAlign w:val="center"/>
          </w:tcPr>
          <w:p>
            <w:r>
              <w:rPr>
                <w:rFonts w:ascii="Calibri" w:hAnsi="Calibri"/>
                <w:b/>
                <w:i w:val="0"/>
                <w:color w:val="3B3F6E"/>
                <w:sz w:val="18"/>
              </w:rPr>
              <w:t>Lesson</w:t>
            </w:r>
          </w:p>
        </w:tc>
        <w:tc>
          <w:tcPr>
            <w:tcW w:type="dxa" w:w="7160"/>
            <w:shd w:fill="EDE8DC"/>
            <w:tcMar>
              <w:top w:w="90" w:type="dxa"/>
              <w:start w:w="120" w:type="dxa"/>
              <w:bottom w:w="90" w:type="dxa"/>
              <w:end w:w="120" w:type="dxa"/>
            </w:tcMar>
            <w:vAlign w:val="center"/>
          </w:tcPr>
          <w:p>
            <w:r>
              <w:rPr>
                <w:rFonts w:ascii="Calibri" w:hAnsi="Calibri"/>
                <w:b w:val="0"/>
                <w:i w:val="0"/>
                <w:color w:val="2B2B2F"/>
                <w:sz w:val="18"/>
              </w:rPr>
              <w:t>Fractions Lesson 3 with parsed segments</w:t>
            </w:r>
          </w:p>
        </w:tc>
      </w:tr>
      <w:tr>
        <w:trPr>
          <w:cantSplit/>
        </w:trPr>
        <w:tc>
          <w:tcPr>
            <w:tcW w:type="dxa" w:w="2200"/>
            <w:shd w:fill="F7F1E6"/>
            <w:tcMar>
              <w:top w:w="90" w:type="dxa"/>
              <w:start w:w="120" w:type="dxa"/>
              <w:bottom w:w="90" w:type="dxa"/>
              <w:end w:w="120" w:type="dxa"/>
            </w:tcMar>
            <w:vAlign w:val="center"/>
          </w:tcPr>
          <w:p>
            <w:r>
              <w:rPr>
                <w:rFonts w:ascii="Calibri" w:hAnsi="Calibri"/>
                <w:b/>
                <w:i w:val="0"/>
                <w:color w:val="3B3F6E"/>
                <w:sz w:val="18"/>
              </w:rPr>
              <w:t>Learning data</w:t>
            </w:r>
          </w:p>
        </w:tc>
        <w:tc>
          <w:tcPr>
            <w:tcW w:type="dxa" w:w="7160"/>
            <w:shd w:fill="F7F1E6"/>
            <w:tcMar>
              <w:top w:w="90" w:type="dxa"/>
              <w:start w:w="120" w:type="dxa"/>
              <w:bottom w:w="90" w:type="dxa"/>
              <w:end w:w="120" w:type="dxa"/>
            </w:tcMar>
            <w:vAlign w:val="center"/>
          </w:tcPr>
          <w:p>
            <w:r>
              <w:rPr>
                <w:rFonts w:ascii="Calibri" w:hAnsi="Calibri"/>
                <w:b w:val="0"/>
                <w:i w:val="0"/>
                <w:color w:val="2B2B2F"/>
                <w:sz w:val="18"/>
              </w:rPr>
              <w:t>Concept mastery, FSRS due reviews, scaffold state/log, lesson sessions</w:t>
            </w:r>
          </w:p>
        </w:tc>
      </w:tr>
      <w:tr>
        <w:trPr>
          <w:cantSplit/>
        </w:trPr>
        <w:tc>
          <w:tcPr>
            <w:tcW w:type="dxa" w:w="2200"/>
            <w:shd w:fill="EDE8DC"/>
            <w:tcMar>
              <w:top w:w="90" w:type="dxa"/>
              <w:start w:w="120" w:type="dxa"/>
              <w:bottom w:w="90" w:type="dxa"/>
              <w:end w:w="120" w:type="dxa"/>
            </w:tcMar>
            <w:vAlign w:val="center"/>
          </w:tcPr>
          <w:p>
            <w:r>
              <w:rPr>
                <w:rFonts w:ascii="Calibri" w:hAnsi="Calibri"/>
                <w:b/>
                <w:i w:val="0"/>
                <w:color w:val="3B3F6E"/>
                <w:sz w:val="18"/>
              </w:rPr>
              <w:t>Console data</w:t>
            </w:r>
          </w:p>
        </w:tc>
        <w:tc>
          <w:tcPr>
            <w:tcW w:type="dxa" w:w="7160"/>
            <w:shd w:fill="EDE8DC"/>
            <w:tcMar>
              <w:top w:w="90" w:type="dxa"/>
              <w:start w:w="120" w:type="dxa"/>
              <w:bottom w:w="90" w:type="dxa"/>
              <w:end w:w="120" w:type="dxa"/>
            </w:tcMar>
            <w:vAlign w:val="center"/>
          </w:tcPr>
          <w:p>
            <w:r>
              <w:rPr>
                <w:rFonts w:ascii="Calibri" w:hAnsi="Calibri"/>
                <w:b w:val="0"/>
                <w:i w:val="0"/>
                <w:color w:val="2B2B2F"/>
                <w:sz w:val="18"/>
              </w:rPr>
              <w:t>Assignments, notification, Connect thread, and message</w:t>
            </w:r>
          </w:p>
        </w:tc>
      </w:tr>
    </w:tbl>
    <w:p>
      <w:pPr>
        <w:pStyle w:val="Heading1"/>
      </w:pPr>
      <w:r>
        <w:t>6. Verification Record</w:t>
      </w:r>
    </w:p>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shd w:fill="EDE8DC"/>
            <w:tcMar>
              <w:top w:w="90" w:type="dxa"/>
              <w:start w:w="120" w:type="dxa"/>
              <w:bottom w:w="90" w:type="dxa"/>
              <w:end w:w="120" w:type="dxa"/>
            </w:tcMar>
            <w:vAlign w:val="center"/>
          </w:tcPr>
          <w:p>
            <w:r>
              <w:rPr>
                <w:rFonts w:ascii="Calibri" w:hAnsi="Calibri"/>
                <w:b/>
                <w:i w:val="0"/>
                <w:color w:val="3B3F6E"/>
                <w:sz w:val="18"/>
              </w:rPr>
              <w:t>Static checks</w:t>
            </w:r>
          </w:p>
        </w:tc>
        <w:tc>
          <w:tcPr>
            <w:tcW w:type="dxa" w:w="7160"/>
            <w:shd w:fill="EDE8DC"/>
            <w:tcMar>
              <w:top w:w="90" w:type="dxa"/>
              <w:start w:w="120" w:type="dxa"/>
              <w:bottom w:w="90" w:type="dxa"/>
              <w:end w:w="120" w:type="dxa"/>
            </w:tcMar>
            <w:vAlign w:val="center"/>
          </w:tcPr>
          <w:p>
            <w:r>
              <w:rPr>
                <w:rFonts w:ascii="Calibri" w:hAnsi="Calibri"/>
                <w:b w:val="0"/>
                <w:i w:val="0"/>
                <w:color w:val="2B2B2F"/>
                <w:sz w:val="18"/>
              </w:rPr>
              <w:t>Ruff, compileall, and git diff checks passed</w:t>
            </w:r>
          </w:p>
        </w:tc>
      </w:tr>
      <w:tr>
        <w:trPr>
          <w:cantSplit/>
        </w:trPr>
        <w:tc>
          <w:tcPr>
            <w:tcW w:type="dxa" w:w="2200"/>
            <w:shd w:fill="F7F1E6"/>
            <w:tcMar>
              <w:top w:w="90" w:type="dxa"/>
              <w:start w:w="120" w:type="dxa"/>
              <w:bottom w:w="90" w:type="dxa"/>
              <w:end w:w="120" w:type="dxa"/>
            </w:tcMar>
            <w:vAlign w:val="center"/>
          </w:tcPr>
          <w:p>
            <w:r>
              <w:rPr>
                <w:rFonts w:ascii="Calibri" w:hAnsi="Calibri"/>
                <w:b/>
                <w:i w:val="0"/>
                <w:color w:val="3B3F6E"/>
                <w:sz w:val="18"/>
              </w:rPr>
              <w:t>Focused tests</w:t>
            </w:r>
          </w:p>
        </w:tc>
        <w:tc>
          <w:tcPr>
            <w:tcW w:type="dxa" w:w="7160"/>
            <w:shd w:fill="F7F1E6"/>
            <w:tcMar>
              <w:top w:w="90" w:type="dxa"/>
              <w:start w:w="120" w:type="dxa"/>
              <w:bottom w:w="90" w:type="dxa"/>
              <w:end w:w="120" w:type="dxa"/>
            </w:tcMar>
            <w:vAlign w:val="center"/>
          </w:tcPr>
          <w:p>
            <w:r>
              <w:rPr>
                <w:rFonts w:ascii="Calibri" w:hAnsi="Calibri"/>
                <w:b w:val="0"/>
                <w:i w:val="0"/>
                <w:color w:val="2B2B2F"/>
                <w:sz w:val="18"/>
              </w:rPr>
              <w:t>14 auth, Ask Nevo, mastery, and parsing tests passed</w:t>
            </w:r>
          </w:p>
        </w:tc>
      </w:tr>
      <w:tr>
        <w:trPr>
          <w:cantSplit/>
        </w:trPr>
        <w:tc>
          <w:tcPr>
            <w:tcW w:type="dxa" w:w="2200"/>
            <w:shd w:fill="EDE8DC"/>
            <w:tcMar>
              <w:top w:w="90" w:type="dxa"/>
              <w:start w:w="120" w:type="dxa"/>
              <w:bottom w:w="90" w:type="dxa"/>
              <w:end w:w="120" w:type="dxa"/>
            </w:tcMar>
            <w:vAlign w:val="center"/>
          </w:tcPr>
          <w:p>
            <w:r>
              <w:rPr>
                <w:rFonts w:ascii="Calibri" w:hAnsi="Calibri"/>
                <w:b/>
                <w:i w:val="0"/>
                <w:color w:val="3B3F6E"/>
                <w:sz w:val="18"/>
              </w:rPr>
              <w:t>Migration tests</w:t>
            </w:r>
          </w:p>
        </w:tc>
        <w:tc>
          <w:tcPr>
            <w:tcW w:type="dxa" w:w="7160"/>
            <w:shd w:fill="EDE8DC"/>
            <w:tcMar>
              <w:top w:w="90" w:type="dxa"/>
              <w:start w:w="120" w:type="dxa"/>
              <w:bottom w:w="90" w:type="dxa"/>
              <w:end w:w="120" w:type="dxa"/>
            </w:tcMar>
            <w:vAlign w:val="center"/>
          </w:tcPr>
          <w:p>
            <w:r>
              <w:rPr>
                <w:rFonts w:ascii="Calibri" w:hAnsi="Calibri"/>
                <w:b w:val="0"/>
                <w:i w:val="0"/>
                <w:color w:val="2B2B2F"/>
                <w:sz w:val="18"/>
              </w:rPr>
              <w:t>47 migration contract tests passed</w:t>
            </w:r>
          </w:p>
        </w:tc>
      </w:tr>
      <w:tr>
        <w:trPr>
          <w:cantSplit/>
        </w:trPr>
        <w:tc>
          <w:tcPr>
            <w:tcW w:type="dxa" w:w="2200"/>
            <w:shd w:fill="F7F1E6"/>
            <w:tcMar>
              <w:top w:w="90" w:type="dxa"/>
              <w:start w:w="120" w:type="dxa"/>
              <w:bottom w:w="90" w:type="dxa"/>
              <w:end w:w="120" w:type="dxa"/>
            </w:tcMar>
            <w:vAlign w:val="center"/>
          </w:tcPr>
          <w:p>
            <w:r>
              <w:rPr>
                <w:rFonts w:ascii="Calibri" w:hAnsi="Calibri"/>
                <w:b/>
                <w:i w:val="0"/>
                <w:color w:val="3B3F6E"/>
                <w:sz w:val="18"/>
              </w:rPr>
              <w:t>Effective suite</w:t>
            </w:r>
          </w:p>
        </w:tc>
        <w:tc>
          <w:tcPr>
            <w:tcW w:type="dxa" w:w="7160"/>
            <w:shd w:fill="F7F1E6"/>
            <w:tcMar>
              <w:top w:w="90" w:type="dxa"/>
              <w:start w:w="120" w:type="dxa"/>
              <w:bottom w:w="90" w:type="dxa"/>
              <w:end w:w="120" w:type="dxa"/>
            </w:tcMar>
            <w:vAlign w:val="center"/>
          </w:tcPr>
          <w:p>
            <w:r>
              <w:rPr>
                <w:rFonts w:ascii="Calibri" w:hAnsi="Calibri"/>
                <w:b w:val="0"/>
                <w:i w:val="0"/>
                <w:color w:val="2B2B2F"/>
                <w:sz w:val="18"/>
              </w:rPr>
              <w:t>404 tests passing; 25 PostgreSQL integration tests skipped without TEST_DATABASE_URL</w:t>
            </w:r>
          </w:p>
        </w:tc>
      </w:tr>
      <w:tr>
        <w:trPr>
          <w:cantSplit/>
        </w:trPr>
        <w:tc>
          <w:tcPr>
            <w:tcW w:type="dxa" w:w="2200"/>
            <w:shd w:fill="EDE8DC"/>
            <w:tcMar>
              <w:top w:w="90" w:type="dxa"/>
              <w:start w:w="120" w:type="dxa"/>
              <w:bottom w:w="90" w:type="dxa"/>
              <w:end w:w="120" w:type="dxa"/>
            </w:tcMar>
            <w:vAlign w:val="center"/>
          </w:tcPr>
          <w:p>
            <w:r>
              <w:rPr>
                <w:rFonts w:ascii="Calibri" w:hAnsi="Calibri"/>
                <w:b/>
                <w:i w:val="0"/>
                <w:color w:val="3B3F6E"/>
                <w:sz w:val="18"/>
              </w:rPr>
              <w:t>Live read paths</w:t>
            </w:r>
          </w:p>
        </w:tc>
        <w:tc>
          <w:tcPr>
            <w:tcW w:type="dxa" w:w="7160"/>
            <w:shd w:fill="EDE8DC"/>
            <w:tcMar>
              <w:top w:w="90" w:type="dxa"/>
              <w:start w:w="120" w:type="dxa"/>
              <w:bottom w:w="90" w:type="dxa"/>
              <w:end w:w="120" w:type="dxa"/>
            </w:tcMar>
            <w:vAlign w:val="center"/>
          </w:tcPr>
          <w:p>
            <w:r>
              <w:rPr>
                <w:rFonts w:ascii="Calibri" w:hAnsi="Calibri"/>
                <w:b w:val="0"/>
                <w:i w:val="0"/>
                <w:color w:val="2B2B2F"/>
                <w:sz w:val="18"/>
              </w:rPr>
              <w:t>Teacher, admin, and student authenticated endpoint sweep returned HTTP 200</w:t>
            </w:r>
          </w:p>
        </w:tc>
      </w:tr>
      <w:tr>
        <w:trPr>
          <w:cantSplit/>
        </w:trPr>
        <w:tc>
          <w:tcPr>
            <w:tcW w:type="dxa" w:w="2200"/>
            <w:shd w:fill="F7F1E6"/>
            <w:tcMar>
              <w:top w:w="90" w:type="dxa"/>
              <w:start w:w="120" w:type="dxa"/>
              <w:bottom w:w="90" w:type="dxa"/>
              <w:end w:w="120" w:type="dxa"/>
            </w:tcMar>
            <w:vAlign w:val="center"/>
          </w:tcPr>
          <w:p>
            <w:r>
              <w:rPr>
                <w:rFonts w:ascii="Calibri" w:hAnsi="Calibri"/>
                <w:b/>
                <w:i w:val="0"/>
                <w:color w:val="3B3F6E"/>
                <w:sz w:val="18"/>
              </w:rPr>
              <w:t>Live write paths</w:t>
            </w:r>
          </w:p>
        </w:tc>
        <w:tc>
          <w:tcPr>
            <w:tcW w:type="dxa" w:w="7160"/>
            <w:shd w:fill="F7F1E6"/>
            <w:tcMar>
              <w:top w:w="90" w:type="dxa"/>
              <w:start w:w="120" w:type="dxa"/>
              <w:bottom w:w="90" w:type="dxa"/>
              <w:end w:w="120" w:type="dxa"/>
            </w:tcMar>
            <w:vAlign w:val="center"/>
          </w:tcPr>
          <w:p>
            <w:r>
              <w:rPr>
                <w:rFonts w:ascii="Calibri" w:hAnsi="Calibri"/>
                <w:b w:val="0"/>
                <w:i w:val="0"/>
                <w:color w:val="2B2B2F"/>
                <w:sz w:val="18"/>
              </w:rPr>
              <w:t>Upload 200, assignment 201, message 201, settings/baseline 200, notification read 204</w:t>
            </w:r>
          </w:p>
        </w:tc>
      </w:tr>
      <w:tr>
        <w:trPr>
          <w:cantSplit/>
        </w:trPr>
        <w:tc>
          <w:tcPr>
            <w:tcW w:type="dxa" w:w="2200"/>
            <w:shd w:fill="EDE8DC"/>
            <w:tcMar>
              <w:top w:w="90" w:type="dxa"/>
              <w:start w:w="120" w:type="dxa"/>
              <w:bottom w:w="90" w:type="dxa"/>
              <w:end w:w="120" w:type="dxa"/>
            </w:tcMar>
            <w:vAlign w:val="center"/>
          </w:tcPr>
          <w:p>
            <w:r>
              <w:rPr>
                <w:rFonts w:ascii="Calibri" w:hAnsi="Calibri"/>
                <w:b/>
                <w:i w:val="0"/>
                <w:color w:val="3B3F6E"/>
                <w:sz w:val="18"/>
              </w:rPr>
              <w:t>Swagger</w:t>
            </w:r>
          </w:p>
        </w:tc>
        <w:tc>
          <w:tcPr>
            <w:tcW w:type="dxa" w:w="7160"/>
            <w:shd w:fill="EDE8DC"/>
            <w:tcMar>
              <w:top w:w="90" w:type="dxa"/>
              <w:start w:w="120" w:type="dxa"/>
              <w:bottom w:w="90" w:type="dxa"/>
              <w:end w:w="120" w:type="dxa"/>
            </w:tcMar>
            <w:vAlign w:val="center"/>
          </w:tcPr>
          <w:p>
            <w:r>
              <w:rPr>
                <w:rFonts w:ascii="Calibri" w:hAnsi="Calibri"/>
                <w:b w:val="0"/>
                <w:i w:val="0"/>
                <w:color w:val="2B2B2F"/>
                <w:sz w:val="18"/>
              </w:rPr>
              <w:t>87 documented API paths; blocker routes tagged Frontend Unblockers</w:t>
            </w:r>
          </w:p>
        </w:tc>
      </w:tr>
      <w:tr>
        <w:trPr>
          <w:cantSplit/>
        </w:trPr>
        <w:tc>
          <w:tcPr>
            <w:tcW w:type="dxa" w:w="2200"/>
            <w:shd w:fill="F7F1E6"/>
            <w:tcMar>
              <w:top w:w="90" w:type="dxa"/>
              <w:start w:w="120" w:type="dxa"/>
              <w:bottom w:w="90" w:type="dxa"/>
              <w:end w:w="120" w:type="dxa"/>
            </w:tcMar>
            <w:vAlign w:val="center"/>
          </w:tcPr>
          <w:p>
            <w:r>
              <w:rPr>
                <w:rFonts w:ascii="Calibri" w:hAnsi="Calibri"/>
                <w:b/>
                <w:i w:val="0"/>
                <w:color w:val="3B3F6E"/>
                <w:sz w:val="18"/>
              </w:rPr>
              <w:t>Database</w:t>
            </w:r>
          </w:p>
        </w:tc>
        <w:tc>
          <w:tcPr>
            <w:tcW w:type="dxa" w:w="7160"/>
            <w:shd w:fill="F7F1E6"/>
            <w:tcMar>
              <w:top w:w="90" w:type="dxa"/>
              <w:start w:w="120" w:type="dxa"/>
              <w:bottom w:w="90" w:type="dxa"/>
              <w:end w:w="120" w:type="dxa"/>
            </w:tcMar>
            <w:vAlign w:val="center"/>
          </w:tcPr>
          <w:p>
            <w:r>
              <w:rPr>
                <w:rFonts w:ascii="Calibri" w:hAnsi="Calibri"/>
                <w:b w:val="0"/>
                <w:i w:val="0"/>
                <w:color w:val="2B2B2F"/>
                <w:sz w:val="18"/>
              </w:rPr>
              <w:t>Supabase migration head confirmed at 20260828_0028</w:t>
            </w:r>
          </w:p>
        </w:tc>
      </w:tr>
    </w:tbl>
    <w:p>
      <w:pPr>
        <w:pStyle w:val="Heading1"/>
      </w:pPr>
      <w:r>
        <w:t>7. Frontend Integration Guidance</w:t>
      </w:r>
    </w:p>
    <w:p>
      <w:pPr>
        <w:pStyle w:val="ListBullet"/>
      </w:pPr>
      <w:r>
        <w:rPr>
          <w:rFonts w:ascii="Calibri" w:hAnsi="Calibri"/>
          <w:b w:val="0"/>
          <w:i w:val="0"/>
          <w:color w:val="2B2B2F"/>
          <w:sz w:val="21"/>
        </w:rPr>
        <w:t>Use NEXT_PUBLIC_API_URL for the backend origin. Local development currently targets http://localhost:8000.</w:t>
      </w:r>
    </w:p>
    <w:p>
      <w:pPr>
        <w:pStyle w:val="ListBullet"/>
      </w:pPr>
      <w:r>
        <w:rPr>
          <w:rFonts w:ascii="Calibri" w:hAnsi="Calibri"/>
          <w:b w:val="0"/>
          <w:i w:val="0"/>
          <w:color w:val="2B2B2F"/>
          <w:sz w:val="21"/>
        </w:rPr>
        <w:t>Send the Bearer token on every protected request. The backend remains the authorization boundary.</w:t>
      </w:r>
    </w:p>
    <w:p>
      <w:pPr>
        <w:pStyle w:val="ListBullet"/>
      </w:pPr>
      <w:r>
        <w:rPr>
          <w:rFonts w:ascii="Calibri" w:hAnsi="Calibri"/>
          <w:b w:val="0"/>
          <w:i w:val="0"/>
          <w:color w:val="2B2B2F"/>
          <w:sz w:val="21"/>
        </w:rPr>
        <w:t>Use Swagger response aliases exactly. Some established routes remain snake_case while new compatibility routes expose camelCase aliases.</w:t>
      </w:r>
    </w:p>
    <w:p>
      <w:pPr>
        <w:pStyle w:val="ListBullet"/>
      </w:pPr>
      <w:r>
        <w:rPr>
          <w:rFonts w:ascii="Calibri" w:hAnsi="Calibri"/>
          <w:b w:val="0"/>
          <w:i w:val="0"/>
          <w:color w:val="2B2B2F"/>
          <w:sz w:val="21"/>
        </w:rPr>
        <w:t>Treat 404 as missing resource, 403 as wrong role/school context, and 503 as a temporarily unavailable domain service.</w:t>
      </w:r>
    </w:p>
    <w:p>
      <w:pPr>
        <w:pStyle w:val="ListBullet"/>
      </w:pPr>
      <w:r>
        <w:rPr>
          <w:rFonts w:ascii="Calibri" w:hAnsi="Calibri"/>
          <w:b w:val="0"/>
          <w:i w:val="0"/>
          <w:color w:val="2B2B2F"/>
          <w:sz w:val="21"/>
        </w:rPr>
        <w:t>Analytics compatibility routes are available for integration but currently return readiness/empty outcome structures until production outcome data is populated.</w:t>
      </w:r>
    </w:p>
    <w:p>
      <w:pPr>
        <w:pStyle w:val="ListBullet"/>
      </w:pPr>
      <w:r>
        <w:rPr>
          <w:rFonts w:ascii="Calibri" w:hAnsi="Calibri"/>
          <w:b w:val="0"/>
          <w:i w:val="0"/>
          <w:color w:val="2B2B2F"/>
          <w:sz w:val="21"/>
        </w:rPr>
        <w:t>The password-reset request is backend-ready; transactional email delivery and final reset-token consumption still need the selected email provider and frontend reset form.</w:t>
      </w:r>
    </w:p>
    <w:p>
      <w:pPr>
        <w:pStyle w:val="ListBullet"/>
      </w:pPr>
      <w:r>
        <w:rPr>
          <w:rFonts w:ascii="Calibri" w:hAnsi="Calibri"/>
          <w:b w:val="0"/>
          <w:i w:val="0"/>
          <w:color w:val="2B2B2F"/>
          <w:sz w:val="21"/>
        </w:rPr>
        <w:t>Credentials for shared test accounts should be exchanged privately, not committed or copied into tickets.</w:t>
      </w:r>
    </w:p>
    <w:p>
      <w:pPr>
        <w:pStyle w:val="Heading1"/>
      </w:pPr>
      <w:r>
        <w:t>8. Deployment Notes</w:t>
      </w:r>
    </w:p>
    <w:p>
      <w:r>
        <w:rPr>
          <w:rFonts w:ascii="Calibri" w:hAnsi="Calibri"/>
          <w:b w:val="0"/>
          <w:i w:val="0"/>
          <w:color w:val="2B2B2F"/>
          <w:sz w:val="21"/>
        </w:rPr>
        <w:t>Build command: python -m pip install --upgrade pip &amp;&amp; python -m pip install .</w:t>
      </w:r>
    </w:p>
    <w:p>
      <w:r>
        <w:rPr>
          <w:rFonts w:ascii="Calibri" w:hAnsi="Calibri"/>
          <w:b w:val="0"/>
          <w:i w:val="0"/>
          <w:color w:val="2B2B2F"/>
          <w:sz w:val="21"/>
        </w:rPr>
        <w:t>Start command: alembic upgrade head &amp;&amp; uvicorn nevo.main:app --host 0.0.0.0 --port $PORT</w:t>
      </w:r>
    </w:p>
    <w:p>
      <w:r>
        <w:rPr>
          <w:rFonts w:ascii="Calibri" w:hAnsi="Calibri"/>
          <w:b w:val="0"/>
          <w:i w:val="0"/>
          <w:color w:val="2B2B2F"/>
          <w:sz w:val="21"/>
        </w:rPr>
        <w:t>The pushed release is commit 714861e on main. Render or another deployment platform should run the migration before starting the API. Required production secrets remain environment variables and are intentionally excluded from this document.</w:t>
      </w:r>
    </w:p>
    <w:p>
      <w:pPr>
        <w:pStyle w:val="Heading1"/>
      </w:pPr>
      <w:r>
        <w:t>9. Acceptance Checklist</w:t>
      </w:r>
    </w:p>
    <w:p>
      <w:pPr>
        <w:pStyle w:val="ListBullet"/>
      </w:pPr>
      <w:r>
        <w:rPr>
          <w:rFonts w:ascii="Calibri" w:hAnsi="Calibri"/>
          <w:b w:val="0"/>
          <w:i w:val="0"/>
          <w:color w:val="2B2B2F"/>
          <w:sz w:val="21"/>
        </w:rPr>
        <w:t>Teacher can sign in and GET /api/v1/users/me.</w:t>
      </w:r>
    </w:p>
    <w:p>
      <w:pPr>
        <w:pStyle w:val="ListBullet"/>
      </w:pPr>
      <w:r>
        <w:rPr>
          <w:rFonts w:ascii="Calibri" w:hAnsi="Calibri"/>
          <w:b w:val="0"/>
          <w:i w:val="0"/>
          <w:color w:val="2B2B2F"/>
          <w:sz w:val="21"/>
        </w:rPr>
        <w:t>Teacher class list contains JSS 2A and its roster contains three students.</w:t>
      </w:r>
    </w:p>
    <w:p>
      <w:pPr>
        <w:pStyle w:val="ListBullet"/>
      </w:pPr>
      <w:r>
        <w:rPr>
          <w:rFonts w:ascii="Calibri" w:hAnsi="Calibri"/>
          <w:b w:val="0"/>
          <w:i w:val="0"/>
          <w:color w:val="2B2B2F"/>
          <w:sz w:val="21"/>
        </w:rPr>
        <w:t>Mastery UI displays conceptName instead of a raw UUID.</w:t>
      </w:r>
    </w:p>
    <w:p>
      <w:pPr>
        <w:pStyle w:val="ListBullet"/>
      </w:pPr>
      <w:r>
        <w:rPr>
          <w:rFonts w:ascii="Calibri" w:hAnsi="Calibri"/>
          <w:b w:val="0"/>
          <w:i w:val="0"/>
          <w:color w:val="2B2B2F"/>
          <w:sz w:val="21"/>
        </w:rPr>
        <w:t>Lesson library and lesson detail load from backend data.</w:t>
      </w:r>
    </w:p>
    <w:p>
      <w:pPr>
        <w:pStyle w:val="ListBullet"/>
      </w:pPr>
      <w:r>
        <w:rPr>
          <w:rFonts w:ascii="Calibri" w:hAnsi="Calibri"/>
          <w:b w:val="0"/>
          <w:i w:val="0"/>
          <w:color w:val="2B2B2F"/>
          <w:sz w:val="21"/>
        </w:rPr>
        <w:t>TXT/PDF/DOCX/PPTX upload reaches the parsing pipeline.</w:t>
      </w:r>
    </w:p>
    <w:p>
      <w:pPr>
        <w:pStyle w:val="ListBullet"/>
      </w:pPr>
      <w:r>
        <w:rPr>
          <w:rFonts w:ascii="Calibri" w:hAnsi="Calibri"/>
          <w:b w:val="0"/>
          <w:i w:val="0"/>
          <w:color w:val="2B2B2F"/>
          <w:sz w:val="21"/>
        </w:rPr>
        <w:t>Lesson assignment returns created assignment IDs.</w:t>
      </w:r>
    </w:p>
    <w:p>
      <w:pPr>
        <w:pStyle w:val="ListBullet"/>
      </w:pPr>
      <w:r>
        <w:rPr>
          <w:rFonts w:ascii="Calibri" w:hAnsi="Calibri"/>
          <w:b w:val="0"/>
          <w:i w:val="0"/>
          <w:color w:val="2B2B2F"/>
          <w:sz w:val="21"/>
        </w:rPr>
        <w:t>Notifications and Connect threads load and write successfully.</w:t>
      </w:r>
    </w:p>
    <w:p>
      <w:pPr>
        <w:pStyle w:val="ListBullet"/>
      </w:pPr>
      <w:r>
        <w:rPr>
          <w:rFonts w:ascii="Calibri" w:hAnsi="Calibri"/>
          <w:b w:val="0"/>
          <w:i w:val="0"/>
          <w:color w:val="2B2B2F"/>
          <w:sz w:val="21"/>
        </w:rPr>
        <w:t>Ask Nevo provider failure never reveals the rendered prompt or context JSON.</w:t>
      </w:r>
    </w:p>
    <w:p>
      <w:pPr>
        <w:pStyle w:val="ListBullet"/>
      </w:pPr>
      <w:r>
        <w:rPr>
          <w:rFonts w:ascii="Calibri" w:hAnsi="Calibri"/>
          <w:b w:val="0"/>
          <w:i w:val="0"/>
          <w:color w:val="2B2B2F"/>
          <w:sz w:val="21"/>
        </w:rPr>
        <w:t>Settings and baseline submissions persist across requests.</w:t>
      </w:r>
    </w:p>
    <w:p>
      <w:pPr>
        <w:pStyle w:val="ListBullet"/>
      </w:pPr>
      <w:r>
        <w:rPr>
          <w:rFonts w:ascii="Calibri" w:hAnsi="Calibri"/>
          <w:b w:val="0"/>
          <w:i w:val="0"/>
          <w:color w:val="2B2B2F"/>
          <w:sz w:val="21"/>
        </w:rPr>
        <w:t>Swagger shows the Frontend Unblockers route group.</w:t>
      </w:r>
    </w:p>
    <w:sectPr w:rsidR="00FC693F" w:rsidRPr="0006063C" w:rsidSect="00034616">
      <w:headerReference w:type="default" r:id="rId9"/>
      <w:footerReference w:type="default" r:id="rId10"/>
      <w:pgSz w:w="12240" w:h="15840"/>
      <w:pgMar w:top="1152" w:right="1440" w:bottom="1152"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D"/>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3B3F6E"/>
        <w:sz w:val="16"/>
      </w:rPr>
      <w:t>NEVO BACKEND 2.0  |  FRONTEND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B2B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3B3F6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3B3F6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B2B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 Backend 2.0 - Frontend Blockers Resolution Handoff</dc:title>
  <dc:subject>Backend implementation handoff for frontend blockers</dc:subject>
  <dc:creator>Nevo Engineering</dc:creator>
  <cp:keywords>Nevo, backend, frontend, blockers, API, handoff</cp:keywords>
  <dc:description>Generated from repository state at commit 714861e.</dc:description>
  <cp:lastModifiedBy/>
  <cp:revision>1</cp:revision>
  <dcterms:created xsi:type="dcterms:W3CDTF">2013-12-23T23:15:00Z</dcterms:created>
  <dcterms:modified xsi:type="dcterms:W3CDTF">2013-12-23T23:15:00Z</dcterms:modified>
  <cp:category/>
</cp:coreProperties>
</file>