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after="160"/>
        <w:jc w:val="center"/>
      </w:pPr>
      <w:r>
        <w:rPr>
          <w:rFonts w:ascii="Cambria" w:hAnsi="Cambria"/>
          <w:b/>
          <w:color w:val="1F4E79"/>
          <w:sz w:val="48"/>
        </w:rPr>
        <w:t>Final Test Report</w:t>
      </w:r>
    </w:p>
    <w:p>
      <w:pPr>
        <w:spacing w:after="400"/>
        <w:jc w:val="center"/>
      </w:pPr>
      <w:r>
        <w:rPr>
          <w:rFonts w:ascii="Calibri" w:hAnsi="Calibri"/>
          <w:b w:val="0"/>
          <w:color w:val="5A5A5A"/>
          <w:sz w:val="24"/>
        </w:rPr>
        <w:t>PRO-PFE - IBlog Test Execution and Analysis</w:t>
      </w:r>
    </w:p>
    <w:tbl>
      <w:tblPr>
        <w:tblW w:type="auto" w:w="0"/>
        <w:jc w:val="center"/>
        <w:tblLayout w:type="fixed"/>
        <w:tblLook w:firstColumn="1" w:firstRow="1" w:lastColumn="0" w:lastRow="0" w:noHBand="0" w:noVBand="1" w:val="04A0"/>
      </w:tblPr>
      <w:tblGrid>
        <w:gridCol w:w="2880"/>
        <w:gridCol w:w="6192"/>
      </w:tblGrid>
      <w:tr>
        <w:tc>
          <w:tcPr>
            <w:tcW w:type="dxa" w:w="2880"/>
            <w:vAlign w:val="center"/>
            <w:tcBorders>
              <w:top w:val="single" w:sz="8" w:color="C9D4E2"/>
              <w:left w:val="single" w:sz="8" w:color="C9D4E2"/>
              <w:bottom w:val="single" w:sz="8" w:color="C9D4E2"/>
              <w:right w:val="single" w:sz="8" w:color="C9D4E2"/>
            </w:tcBorders>
            <w:shd w:fill="D9EAF7"/>
          </w:tcPr>
          <w:p>
            <w:pPr>
              <w:spacing w:after="60"/>
              <w:jc w:val="left"/>
            </w:pPr>
            <w:r>
              <w:rPr>
                <w:rFonts w:ascii="Calibri" w:hAnsi="Calibri"/>
                <w:b/>
                <w:color w:val="1F4E79"/>
                <w:sz w:val="21"/>
              </w:rPr>
              <w:t>Project</w:t>
            </w:r>
          </w:p>
        </w:tc>
        <w:tc>
          <w:tcPr>
            <w:tcW w:type="dxa" w:w="6192"/>
            <w:vAlign w:val="center"/>
            <w:tcBorders>
              <w:top w:val="single" w:sz="8" w:color="C9D4E2"/>
              <w:left w:val="single" w:sz="8" w:color="C9D4E2"/>
              <w:bottom w:val="single" w:sz="8" w:color="C9D4E2"/>
              <w:right w:val="single" w:sz="8" w:color="C9D4E2"/>
            </w:tcBorders>
          </w:tcPr>
          <w:p>
            <w:pPr>
              <w:spacing w:after="60"/>
              <w:jc w:val="left"/>
            </w:pPr>
            <w:r>
              <w:rPr>
                <w:rFonts w:ascii="Calibri" w:hAnsi="Calibri"/>
                <w:b w:val="0"/>
                <w:color w:val="242424"/>
                <w:sz w:val="21"/>
              </w:rPr>
              <w:t>IBlog</w:t>
            </w:r>
          </w:p>
        </w:tc>
      </w:tr>
      <w:tr>
        <w:tc>
          <w:tcPr>
            <w:tcW w:type="dxa" w:w="2880"/>
            <w:vAlign w:val="center"/>
            <w:tcBorders>
              <w:top w:val="single" w:sz="8" w:color="C9D4E2"/>
              <w:left w:val="single" w:sz="8" w:color="C9D4E2"/>
              <w:bottom w:val="single" w:sz="8" w:color="C9D4E2"/>
              <w:right w:val="single" w:sz="8" w:color="C9D4E2"/>
            </w:tcBorders>
            <w:shd w:fill="D9EAF7"/>
          </w:tcPr>
          <w:p>
            <w:pPr>
              <w:spacing w:after="60"/>
              <w:jc w:val="left"/>
            </w:pPr>
            <w:r>
              <w:rPr>
                <w:rFonts w:ascii="Calibri" w:hAnsi="Calibri"/>
                <w:b/>
                <w:color w:val="1F4E79"/>
                <w:sz w:val="21"/>
              </w:rPr>
              <w:t>Document Type</w:t>
            </w:r>
          </w:p>
        </w:tc>
        <w:tc>
          <w:tcPr>
            <w:tcW w:type="dxa" w:w="6192"/>
            <w:vAlign w:val="center"/>
            <w:tcBorders>
              <w:top w:val="single" w:sz="8" w:color="C9D4E2"/>
              <w:left w:val="single" w:sz="8" w:color="C9D4E2"/>
              <w:bottom w:val="single" w:sz="8" w:color="C9D4E2"/>
              <w:right w:val="single" w:sz="8" w:color="C9D4E2"/>
            </w:tcBorders>
          </w:tcPr>
          <w:p>
            <w:pPr>
              <w:spacing w:after="60"/>
              <w:jc w:val="left"/>
            </w:pPr>
            <w:r>
              <w:rPr>
                <w:rFonts w:ascii="Calibri" w:hAnsi="Calibri"/>
                <w:b w:val="0"/>
                <w:color w:val="242424"/>
                <w:sz w:val="21"/>
              </w:rPr>
              <w:t>Execution and result document</w:t>
            </w:r>
          </w:p>
        </w:tc>
      </w:tr>
      <w:tr>
        <w:tc>
          <w:tcPr>
            <w:tcW w:type="dxa" w:w="2880"/>
            <w:vAlign w:val="center"/>
            <w:tcBorders>
              <w:top w:val="single" w:sz="8" w:color="C9D4E2"/>
              <w:left w:val="single" w:sz="8" w:color="C9D4E2"/>
              <w:bottom w:val="single" w:sz="8" w:color="C9D4E2"/>
              <w:right w:val="single" w:sz="8" w:color="C9D4E2"/>
            </w:tcBorders>
            <w:shd w:fill="D9EAF7"/>
          </w:tcPr>
          <w:p>
            <w:pPr>
              <w:spacing w:after="60"/>
              <w:jc w:val="left"/>
            </w:pPr>
            <w:r>
              <w:rPr>
                <w:rFonts w:ascii="Calibri" w:hAnsi="Calibri"/>
                <w:b/>
                <w:color w:val="1F4E79"/>
                <w:sz w:val="21"/>
              </w:rPr>
              <w:t>Context</w:t>
            </w:r>
          </w:p>
        </w:tc>
        <w:tc>
          <w:tcPr>
            <w:tcW w:type="dxa" w:w="6192"/>
            <w:vAlign w:val="center"/>
            <w:tcBorders>
              <w:top w:val="single" w:sz="8" w:color="C9D4E2"/>
              <w:left w:val="single" w:sz="8" w:color="C9D4E2"/>
              <w:bottom w:val="single" w:sz="8" w:color="C9D4E2"/>
              <w:right w:val="single" w:sz="8" w:color="C9D4E2"/>
            </w:tcBorders>
          </w:tcPr>
          <w:p>
            <w:pPr>
              <w:spacing w:after="60"/>
              <w:jc w:val="left"/>
            </w:pPr>
            <w:r>
              <w:rPr>
                <w:rFonts w:ascii="Calibri" w:hAnsi="Calibri"/>
                <w:b w:val="0"/>
                <w:color w:val="242424"/>
                <w:sz w:val="21"/>
              </w:rPr>
              <w:t>PHP / MySQL web application with authentication, article, search, comment, and community features</w:t>
            </w:r>
          </w:p>
        </w:tc>
      </w:tr>
      <w:tr>
        <w:tc>
          <w:tcPr>
            <w:tcW w:type="dxa" w:w="2880"/>
            <w:vAlign w:val="center"/>
            <w:tcBorders>
              <w:top w:val="single" w:sz="8" w:color="C9D4E2"/>
              <w:left w:val="single" w:sz="8" w:color="C9D4E2"/>
              <w:bottom w:val="single" w:sz="8" w:color="C9D4E2"/>
              <w:right w:val="single" w:sz="8" w:color="C9D4E2"/>
            </w:tcBorders>
            <w:shd w:fill="D9EAF7"/>
          </w:tcPr>
          <w:p>
            <w:pPr>
              <w:spacing w:after="60"/>
              <w:jc w:val="left"/>
            </w:pPr>
            <w:r>
              <w:rPr>
                <w:rFonts w:ascii="Calibri" w:hAnsi="Calibri"/>
                <w:b/>
                <w:color w:val="1F4E79"/>
                <w:sz w:val="21"/>
              </w:rPr>
              <w:t>Execution Note</w:t>
            </w:r>
          </w:p>
        </w:tc>
        <w:tc>
          <w:tcPr>
            <w:tcW w:type="dxa" w:w="6192"/>
            <w:vAlign w:val="center"/>
            <w:tcBorders>
              <w:top w:val="single" w:sz="8" w:color="C9D4E2"/>
              <w:left w:val="single" w:sz="8" w:color="C9D4E2"/>
              <w:bottom w:val="single" w:sz="8" w:color="C9D4E2"/>
              <w:right w:val="single" w:sz="8" w:color="C9D4E2"/>
            </w:tcBorders>
          </w:tcPr>
          <w:p>
            <w:pPr>
              <w:spacing w:after="60"/>
              <w:jc w:val="left"/>
            </w:pPr>
            <w:r>
              <w:rPr>
                <w:rFonts w:ascii="Calibri" w:hAnsi="Calibri"/>
                <w:b w:val="0"/>
                <w:color w:val="242424"/>
                <w:sz w:val="21"/>
              </w:rPr>
              <w:t>Automated verification run confirmed on May 3, 2026 with validated MySQL-based test execution.</w:t>
            </w:r>
          </w:p>
        </w:tc>
      </w:tr>
    </w:tbl>
    <w:p/>
    <w:p>
      <w:pPr>
        <w:spacing w:before="360" w:after="0"/>
        <w:jc w:val="center"/>
      </w:pPr>
      <w:r>
        <w:rPr>
          <w:rFonts w:ascii="Calibri" w:hAnsi="Calibri"/>
          <w:b w:val="0"/>
          <w:color w:val="5F5F5F"/>
          <w:sz w:val="20"/>
        </w:rPr>
        <w:t>Prepared in formal report format for academic submission.</w:t>
      </w:r>
    </w:p>
    <w:p>
      <w:r>
        <w:br w:type="page"/>
      </w:r>
    </w:p>
    <w:p>
      <w:pPr>
        <w:pStyle w:val="Heading1"/>
        <w:spacing w:before="200" w:after="80"/>
      </w:pPr>
      <w:r>
        <w:t>1 Introduction</w:t>
      </w:r>
    </w:p>
    <w:p>
      <w:r>
        <w:rPr>
          <w:rFonts w:ascii="Calibri" w:hAnsi="Calibri"/>
          <w:b w:val="0"/>
          <w:color w:val="242424"/>
          <w:sz w:val="21"/>
        </w:rPr>
        <w:t>This document presents the execution and results of the testing activities previously defined in the Test Validation Plan. Unlike the planning document, this report contains real execution evidence, analysis, and recorded defects.</w:t>
      </w:r>
    </w:p>
    <w:p>
      <w:r>
        <w:rPr>
          <w:rFonts w:ascii="Calibri" w:hAnsi="Calibri"/>
          <w:b w:val="0"/>
          <w:color w:val="242424"/>
          <w:sz w:val="21"/>
        </w:rPr>
        <w:t>Project Context: IBlog is a PHP and MySQL web platform for user authentication, article publishing and management, search, comments, saved articles, and community-related interactions. The documented validation cycle was executed during the May 2026 testing period.</w:t>
      </w:r>
    </w:p>
    <w:p>
      <w:r>
        <w:rPr>
          <w:rFonts w:ascii="Calibri" w:hAnsi="Calibri"/>
          <w:b w:val="0"/>
          <w:color w:val="242424"/>
          <w:sz w:val="21"/>
        </w:rPr>
        <w:t>Objective of this report:</w:t>
      </w:r>
    </w:p>
    <w:p>
      <w:pPr>
        <w:pStyle w:val="ListBullet"/>
      </w:pPr>
      <w:r>
        <w:rPr>
          <w:rFonts w:ascii="Calibri" w:hAnsi="Calibri"/>
          <w:b w:val="0"/>
          <w:color w:val="242424"/>
          <w:sz w:val="21"/>
        </w:rPr>
        <w:t>Present executed tests</w:t>
      </w:r>
    </w:p>
    <w:p>
      <w:pPr>
        <w:pStyle w:val="ListBullet"/>
      </w:pPr>
      <w:r>
        <w:rPr>
          <w:rFonts w:ascii="Calibri" w:hAnsi="Calibri"/>
          <w:b w:val="0"/>
          <w:color w:val="242424"/>
          <w:sz w:val="21"/>
        </w:rPr>
        <w:t>Analyze results</w:t>
      </w:r>
    </w:p>
    <w:p>
      <w:pPr>
        <w:pStyle w:val="ListBullet"/>
      </w:pPr>
      <w:r>
        <w:rPr>
          <w:rFonts w:ascii="Calibri" w:hAnsi="Calibri"/>
          <w:b w:val="0"/>
          <w:color w:val="242424"/>
          <w:sz w:val="21"/>
        </w:rPr>
        <w:t>Identify defects</w:t>
      </w:r>
    </w:p>
    <w:p>
      <w:pPr>
        <w:pStyle w:val="ListBullet"/>
      </w:pPr>
      <w:r>
        <w:rPr>
          <w:rFonts w:ascii="Calibri" w:hAnsi="Calibri"/>
          <w:b w:val="0"/>
          <w:color w:val="242424"/>
          <w:sz w:val="21"/>
        </w:rPr>
        <w:t>Evaluate system quality</w:t>
      </w:r>
    </w:p>
    <w:p>
      <w:pPr>
        <w:pStyle w:val="Heading1"/>
        <w:spacing w:before="200" w:after="80"/>
      </w:pPr>
      <w:r>
        <w:t>2 Test Execution Methodology</w:t>
      </w:r>
    </w:p>
    <w:p>
      <w:pPr>
        <w:pStyle w:val="Heading2"/>
        <w:spacing w:before="120" w:after="80"/>
      </w:pPr>
      <w:r>
        <w:t>2.1 Environment</w:t>
      </w:r>
    </w:p>
    <w:p>
      <w:pPr>
        <w:pStyle w:val="ListBullet"/>
      </w:pPr>
      <w:r>
        <w:rPr>
          <w:rFonts w:ascii="Calibri" w:hAnsi="Calibri"/>
          <w:b w:val="0"/>
          <w:color w:val="242424"/>
          <w:sz w:val="21"/>
        </w:rPr>
        <w:t>Execution environment: local development workstation</w:t>
      </w:r>
    </w:p>
    <w:p>
      <w:pPr>
        <w:pStyle w:val="ListBullet"/>
      </w:pPr>
      <w:r>
        <w:rPr>
          <w:rFonts w:ascii="Calibri" w:hAnsi="Calibri"/>
          <w:b w:val="0"/>
          <w:color w:val="242424"/>
          <w:sz w:val="21"/>
        </w:rPr>
        <w:t>Server stack: XAMPP with PHP 8.2.12</w:t>
      </w:r>
    </w:p>
    <w:p>
      <w:pPr>
        <w:pStyle w:val="ListBullet"/>
      </w:pPr>
      <w:r>
        <w:rPr>
          <w:rFonts w:ascii="Calibri" w:hAnsi="Calibri"/>
          <w:b w:val="0"/>
          <w:color w:val="242424"/>
          <w:sz w:val="21"/>
        </w:rPr>
        <w:t>Database: MySQL administered through phpMyAdmin</w:t>
      </w:r>
    </w:p>
    <w:p>
      <w:pPr>
        <w:pStyle w:val="ListBullet"/>
      </w:pPr>
      <w:r>
        <w:rPr>
          <w:rFonts w:ascii="Calibri" w:hAnsi="Calibri"/>
          <w:b w:val="0"/>
          <w:color w:val="242424"/>
          <w:sz w:val="21"/>
        </w:rPr>
        <w:t>Application type: PHP web application under local workspace execution</w:t>
      </w:r>
    </w:p>
    <w:p>
      <w:pPr>
        <w:pStyle w:val="ListBullet"/>
      </w:pPr>
      <w:r>
        <w:rPr>
          <w:rFonts w:ascii="Calibri" w:hAnsi="Calibri"/>
          <w:b w:val="0"/>
          <w:color w:val="242424"/>
          <w:sz w:val="21"/>
        </w:rPr>
        <w:t>Execution period: May 2026 validation cycle, with the confirmed automated pass completed on May 3, 2026</w:t>
      </w:r>
    </w:p>
    <w:p>
      <w:pPr>
        <w:pStyle w:val="Heading2"/>
        <w:spacing w:before="120" w:after="80"/>
      </w:pPr>
      <w:r>
        <w:t>2.2 Tools Used</w:t>
      </w:r>
    </w:p>
    <w:p>
      <w:pPr>
        <w:pStyle w:val="ListBullet"/>
      </w:pPr>
      <w:r>
        <w:rPr>
          <w:rFonts w:ascii="Calibri" w:hAnsi="Calibri"/>
          <w:b w:val="0"/>
          <w:color w:val="242424"/>
          <w:sz w:val="21"/>
        </w:rPr>
        <w:t>PHPUnit</w:t>
      </w:r>
    </w:p>
    <w:p>
      <w:pPr>
        <w:pStyle w:val="ListBullet"/>
      </w:pPr>
      <w:r>
        <w:rPr>
          <w:rFonts w:ascii="Calibri" w:hAnsi="Calibri"/>
          <w:b w:val="0"/>
          <w:color w:val="242424"/>
          <w:sz w:val="21"/>
        </w:rPr>
        <w:t>MySQL / phpMyAdmin</w:t>
      </w:r>
    </w:p>
    <w:p>
      <w:pPr>
        <w:pStyle w:val="ListBullet"/>
      </w:pPr>
      <w:r>
        <w:rPr>
          <w:rFonts w:ascii="Calibri" w:hAnsi="Calibri"/>
          <w:b w:val="0"/>
          <w:color w:val="242424"/>
          <w:sz w:val="21"/>
        </w:rPr>
        <w:t>Browser Developer Tools</w:t>
      </w:r>
    </w:p>
    <w:p>
      <w:pPr>
        <w:pStyle w:val="ListBullet"/>
      </w:pPr>
      <w:r>
        <w:rPr>
          <w:rFonts w:ascii="Calibri" w:hAnsi="Calibri"/>
          <w:b w:val="0"/>
          <w:color w:val="242424"/>
          <w:sz w:val="21"/>
        </w:rPr>
        <w:t>Optional API client such as Postman for manual endpoint checks</w:t>
      </w:r>
    </w:p>
    <w:p>
      <w:pPr>
        <w:pStyle w:val="Heading2"/>
        <w:spacing w:before="120" w:after="80"/>
      </w:pPr>
      <w:r>
        <w:t>2.3 Execution Approach</w:t>
      </w:r>
    </w:p>
    <w:p>
      <w:pPr>
        <w:pStyle w:val="ListBullet"/>
      </w:pPr>
      <w:r>
        <w:rPr>
          <w:rFonts w:ascii="Calibri" w:hAnsi="Calibri"/>
          <w:b w:val="0"/>
          <w:color w:val="242424"/>
          <w:sz w:val="21"/>
        </w:rPr>
        <w:t>Automated testing for unit and integration validation through PHPUnit</w:t>
      </w:r>
    </w:p>
    <w:p>
      <w:pPr>
        <w:pStyle w:val="ListBullet"/>
      </w:pPr>
      <w:r>
        <w:rPr>
          <w:rFonts w:ascii="Calibri" w:hAnsi="Calibri"/>
          <w:b w:val="0"/>
          <w:color w:val="242424"/>
          <w:sz w:val="21"/>
        </w:rPr>
        <w:t>Manual testing for interface behavior and user workflow observation</w:t>
      </w:r>
    </w:p>
    <w:p>
      <w:pPr>
        <w:pStyle w:val="ListBullet"/>
      </w:pPr>
      <w:r>
        <w:rPr>
          <w:rFonts w:ascii="Calibri" w:hAnsi="Calibri"/>
          <w:b w:val="0"/>
          <w:color w:val="242424"/>
          <w:sz w:val="21"/>
        </w:rPr>
        <w:t>Database verification through phpMyAdmin to confirm persistence and updates</w:t>
      </w:r>
    </w:p>
    <w:p>
      <w:r>
        <w:rPr>
          <w:rFonts w:ascii="Calibri" w:hAnsi="Calibri"/>
          <w:b w:val="0"/>
          <w:color w:val="242424"/>
          <w:sz w:val="21"/>
        </w:rPr>
        <w:t>The practical approach was hybrid: automated tests covered code logic and integration behavior, while manual checks were used for interface usability and presentation issues.</w:t>
      </w:r>
    </w:p>
    <w:p>
      <w:pPr>
        <w:pStyle w:val="Heading1"/>
        <w:spacing w:before="200" w:after="80"/>
      </w:pPr>
      <w:r>
        <w:t>3 Test Execution Summary</w:t>
      </w:r>
    </w:p>
    <w:tbl>
      <w:tblPr>
        <w:tblW w:type="auto" w:w="0"/>
        <w:jc w:val="center"/>
        <w:tblLayout w:type="fixed"/>
        <w:tblLook w:firstColumn="1" w:firstRow="1" w:lastColumn="0" w:lastRow="0" w:noHBand="0" w:noVBand="1" w:val="04A0"/>
      </w:tblPr>
      <w:tblGrid>
        <w:gridCol w:w="2408"/>
        <w:gridCol w:w="2408"/>
        <w:gridCol w:w="2408"/>
        <w:gridCol w:w="2408"/>
      </w:tblGrid>
      <w:tr>
        <w:tc>
          <w:tcPr>
            <w:tcW w:type="dxa" w:w="1872"/>
            <w:vAlign w:val="center"/>
            <w:shd w:fill="D9EAF7"/>
            <w:tcBorders>
              <w:top w:val="single" w:sz="8" w:color="C9D4E2"/>
              <w:left w:val="single" w:sz="8" w:color="C9D4E2"/>
              <w:bottom w:val="single" w:sz="8" w:color="C9D4E2"/>
              <w:right w:val="single" w:sz="8" w:color="C9D4E2"/>
            </w:tcBorders>
          </w:tcPr>
          <w:p>
            <w:pPr>
              <w:jc w:val="center"/>
            </w:pPr>
            <w:r>
              <w:rPr>
                <w:rFonts w:ascii="Calibri" w:hAnsi="Calibri"/>
                <w:b/>
                <w:color w:val="1F4E79"/>
                <w:sz w:val="20"/>
              </w:rPr>
              <w:t>Total Tests</w:t>
            </w:r>
          </w:p>
        </w:tc>
        <w:tc>
          <w:tcPr>
            <w:tcW w:type="dxa" w:w="1728"/>
            <w:vAlign w:val="center"/>
            <w:shd w:fill="D9EAF7"/>
            <w:tcBorders>
              <w:top w:val="single" w:sz="8" w:color="C9D4E2"/>
              <w:left w:val="single" w:sz="8" w:color="C9D4E2"/>
              <w:bottom w:val="single" w:sz="8" w:color="C9D4E2"/>
              <w:right w:val="single" w:sz="8" w:color="C9D4E2"/>
            </w:tcBorders>
          </w:tcPr>
          <w:p>
            <w:pPr>
              <w:jc w:val="center"/>
            </w:pPr>
            <w:r>
              <w:rPr>
                <w:rFonts w:ascii="Calibri" w:hAnsi="Calibri"/>
                <w:b/>
                <w:color w:val="1F4E79"/>
                <w:sz w:val="20"/>
              </w:rPr>
              <w:t>Passed</w:t>
            </w:r>
          </w:p>
        </w:tc>
        <w:tc>
          <w:tcPr>
            <w:tcW w:type="dxa" w:w="1728"/>
            <w:vAlign w:val="center"/>
            <w:shd w:fill="D9EAF7"/>
            <w:tcBorders>
              <w:top w:val="single" w:sz="8" w:color="C9D4E2"/>
              <w:left w:val="single" w:sz="8" w:color="C9D4E2"/>
              <w:bottom w:val="single" w:sz="8" w:color="C9D4E2"/>
              <w:right w:val="single" w:sz="8" w:color="C9D4E2"/>
            </w:tcBorders>
          </w:tcPr>
          <w:p>
            <w:pPr>
              <w:jc w:val="center"/>
            </w:pPr>
            <w:r>
              <w:rPr>
                <w:rFonts w:ascii="Calibri" w:hAnsi="Calibri"/>
                <w:b/>
                <w:color w:val="1F4E79"/>
                <w:sz w:val="20"/>
              </w:rPr>
              <w:t>Failed</w:t>
            </w:r>
          </w:p>
        </w:tc>
        <w:tc>
          <w:tcPr>
            <w:tcW w:type="dxa" w:w="2304"/>
            <w:vAlign w:val="center"/>
            <w:shd w:fill="D9EAF7"/>
            <w:tcBorders>
              <w:top w:val="single" w:sz="8" w:color="C9D4E2"/>
              <w:left w:val="single" w:sz="8" w:color="C9D4E2"/>
              <w:bottom w:val="single" w:sz="8" w:color="C9D4E2"/>
              <w:right w:val="single" w:sz="8" w:color="C9D4E2"/>
            </w:tcBorders>
          </w:tcPr>
          <w:p>
            <w:pPr>
              <w:jc w:val="left"/>
            </w:pPr>
            <w:r>
              <w:rPr>
                <w:rFonts w:ascii="Calibri" w:hAnsi="Calibri"/>
                <w:b/>
                <w:color w:val="1F4E79"/>
                <w:sz w:val="20"/>
              </w:rPr>
              <w:t>Success Rate</w:t>
            </w:r>
          </w:p>
        </w:tc>
      </w:tr>
      <w:tr>
        <w:tc>
          <w:tcPr>
            <w:tcW w:type="dxa" w:w="1872"/>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84</w:t>
            </w:r>
          </w:p>
        </w:tc>
        <w:tc>
          <w:tcPr>
            <w:tcW w:type="dxa" w:w="1728"/>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84</w:t>
            </w:r>
          </w:p>
        </w:tc>
        <w:tc>
          <w:tcPr>
            <w:tcW w:type="dxa" w:w="1728"/>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0</w:t>
            </w:r>
          </w:p>
        </w:tc>
        <w:tc>
          <w:tcPr>
            <w:tcW w:type="dxa" w:w="2304"/>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100%</w:t>
            </w:r>
          </w:p>
        </w:tc>
      </w:tr>
    </w:tbl>
    <w:p/>
    <w:p>
      <w:r>
        <w:rPr>
          <w:rFonts w:ascii="Calibri" w:hAnsi="Calibri"/>
          <w:b w:val="0"/>
          <w:color w:val="242424"/>
          <w:sz w:val="21"/>
        </w:rPr>
        <w:t>The validated automated execution completed successfully with 84 tests passed and 471 assertions confirmed.</w:t>
      </w:r>
    </w:p>
    <w:tbl>
      <w:tblPr>
        <w:tblW w:type="auto" w:w="0"/>
        <w:jc w:val="center"/>
        <w:tblLayout w:type="fixed"/>
        <w:tblLook w:firstColumn="1" w:firstRow="1" w:lastColumn="0" w:lastRow="0" w:noHBand="0" w:noVBand="1" w:val="04A0"/>
      </w:tblPr>
      <w:tblGrid>
        <w:gridCol w:w="9632"/>
      </w:tblGrid>
      <w:tr>
        <w:tc>
          <w:tcPr>
            <w:tcW w:type="dxa" w:w="8928"/>
            <w:vAlign w:val="center"/>
            <w:shd w:fill="F7F9FC"/>
            <w:tcBorders>
              <w:top w:val="single" w:sz="8" w:color="9FB4CC"/>
              <w:left w:val="single" w:sz="8" w:color="9FB4CC"/>
              <w:bottom w:val="single" w:sz="8" w:color="9FB4CC"/>
              <w:right w:val="single" w:sz="8" w:color="9FB4CC"/>
            </w:tcBorders>
          </w:tcPr>
          <w:p>
            <w:pPr>
              <w:spacing w:after="40"/>
              <w:jc w:val="left"/>
            </w:pPr>
            <w:r>
              <w:rPr>
                <w:rFonts w:ascii="Calibri" w:hAnsi="Calibri"/>
                <w:b/>
                <w:color w:val="1F4E79"/>
                <w:sz w:val="20"/>
              </w:rPr>
              <w:t>Screenshot A - PHPUnit Execution Summary</w:t>
              <w:br/>
            </w:r>
          </w:p>
          <w:p>
            <w:pPr>
              <w:spacing w:after="40"/>
              <w:jc w:val="left"/>
            </w:pPr>
            <w:r>
              <w:rPr>
                <w:rFonts w:ascii="Calibri" w:hAnsi="Calibri"/>
                <w:b w:val="0"/>
                <w:color w:val="242424"/>
                <w:sz w:val="20"/>
              </w:rPr>
              <w:t>Placement: Insert immediately after Section 3</w:t>
              <w:br/>
            </w:r>
          </w:p>
          <w:p>
            <w:pPr>
              <w:spacing w:after="40"/>
              <w:jc w:val="left"/>
            </w:pPr>
            <w:r>
              <w:rPr>
                <w:rFonts w:ascii="Calibri" w:hAnsi="Calibri"/>
                <w:b w:val="0"/>
                <w:color w:val="242424"/>
                <w:sz w:val="20"/>
              </w:rPr>
              <w:t>Capture guidance: Capture the terminal output showing the final PHPUnit command and the line 'OK (84 tests, 471 assertions)'.</w:t>
            </w:r>
          </w:p>
        </w:tc>
      </w:tr>
    </w:tbl>
    <w:p/>
    <w:p>
      <w:pPr>
        <w:pStyle w:val="Heading1"/>
        <w:spacing w:before="200" w:after="80"/>
      </w:pPr>
      <w:r>
        <w:t>4 Detailed Test Results</w:t>
      </w:r>
    </w:p>
    <w:p>
      <w:pPr>
        <w:pStyle w:val="Heading2"/>
        <w:spacing w:before="120" w:after="80"/>
      </w:pPr>
      <w:r>
        <w:t>4.1 Functional Testing</w:t>
      </w:r>
    </w:p>
    <w:tbl>
      <w:tblPr>
        <w:tblW w:type="auto" w:w="0"/>
        <w:jc w:val="center"/>
        <w:tblLayout w:type="fixed"/>
        <w:tblLook w:firstColumn="1" w:firstRow="1" w:lastColumn="0" w:lastRow="0" w:noHBand="0" w:noVBand="1" w:val="04A0"/>
      </w:tblPr>
      <w:tblGrid>
        <w:gridCol w:w="2408"/>
        <w:gridCol w:w="2408"/>
        <w:gridCol w:w="2408"/>
        <w:gridCol w:w="2408"/>
      </w:tblGrid>
      <w:tr>
        <w:tc>
          <w:tcPr>
            <w:tcW w:type="dxa" w:w="1152"/>
            <w:vAlign w:val="center"/>
            <w:shd w:fill="D9EAF7"/>
            <w:tcBorders>
              <w:top w:val="single" w:sz="8" w:color="C9D4E2"/>
              <w:left w:val="single" w:sz="8" w:color="C9D4E2"/>
              <w:bottom w:val="single" w:sz="8" w:color="C9D4E2"/>
              <w:right w:val="single" w:sz="8" w:color="C9D4E2"/>
            </w:tcBorders>
          </w:tcPr>
          <w:p>
            <w:pPr>
              <w:jc w:val="center"/>
            </w:pPr>
            <w:r>
              <w:rPr>
                <w:rFonts w:ascii="Calibri" w:hAnsi="Calibri"/>
                <w:b/>
                <w:color w:val="1F4E79"/>
                <w:sz w:val="20"/>
              </w:rPr>
              <w:t>Test ID</w:t>
            </w:r>
          </w:p>
        </w:tc>
        <w:tc>
          <w:tcPr>
            <w:tcW w:type="dxa" w:w="3312"/>
            <w:vAlign w:val="center"/>
            <w:shd w:fill="D9EAF7"/>
            <w:tcBorders>
              <w:top w:val="single" w:sz="8" w:color="C9D4E2"/>
              <w:left w:val="single" w:sz="8" w:color="C9D4E2"/>
              <w:bottom w:val="single" w:sz="8" w:color="C9D4E2"/>
              <w:right w:val="single" w:sz="8" w:color="C9D4E2"/>
            </w:tcBorders>
          </w:tcPr>
          <w:p>
            <w:pPr>
              <w:jc w:val="left"/>
            </w:pPr>
            <w:r>
              <w:rPr>
                <w:rFonts w:ascii="Calibri" w:hAnsi="Calibri"/>
                <w:b/>
                <w:color w:val="1F4E79"/>
                <w:sz w:val="20"/>
              </w:rPr>
              <w:t>Expected Result</w:t>
            </w:r>
          </w:p>
        </w:tc>
        <w:tc>
          <w:tcPr>
            <w:tcW w:type="dxa" w:w="3312"/>
            <w:vAlign w:val="center"/>
            <w:shd w:fill="D9EAF7"/>
            <w:tcBorders>
              <w:top w:val="single" w:sz="8" w:color="C9D4E2"/>
              <w:left w:val="single" w:sz="8" w:color="C9D4E2"/>
              <w:bottom w:val="single" w:sz="8" w:color="C9D4E2"/>
              <w:right w:val="single" w:sz="8" w:color="C9D4E2"/>
            </w:tcBorders>
          </w:tcPr>
          <w:p>
            <w:pPr>
              <w:jc w:val="left"/>
            </w:pPr>
            <w:r>
              <w:rPr>
                <w:rFonts w:ascii="Calibri" w:hAnsi="Calibri"/>
                <w:b/>
                <w:color w:val="1F4E79"/>
                <w:sz w:val="20"/>
              </w:rPr>
              <w:t>Actual Result</w:t>
            </w:r>
          </w:p>
        </w:tc>
        <w:tc>
          <w:tcPr>
            <w:tcW w:type="dxa" w:w="1152"/>
            <w:vAlign w:val="center"/>
            <w:shd w:fill="D9EAF7"/>
            <w:tcBorders>
              <w:top w:val="single" w:sz="8" w:color="C9D4E2"/>
              <w:left w:val="single" w:sz="8" w:color="C9D4E2"/>
              <w:bottom w:val="single" w:sz="8" w:color="C9D4E2"/>
              <w:right w:val="single" w:sz="8" w:color="C9D4E2"/>
            </w:tcBorders>
          </w:tcPr>
          <w:p>
            <w:pPr>
              <w:jc w:val="center"/>
            </w:pPr>
            <w:r>
              <w:rPr>
                <w:rFonts w:ascii="Calibri" w:hAnsi="Calibri"/>
                <w:b/>
                <w:color w:val="1F4E79"/>
                <w:sz w:val="20"/>
              </w:rPr>
              <w:t>Status</w:t>
            </w:r>
          </w:p>
        </w:tc>
      </w:tr>
      <w:tr>
        <w:tc>
          <w:tcPr>
            <w:tcW w:type="dxa" w:w="1152"/>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TC01</w:t>
            </w:r>
          </w:p>
        </w:tc>
        <w:tc>
          <w:tcPr>
            <w:tcW w:type="dxa" w:w="331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User registration succeeds with valid data.</w:t>
            </w:r>
          </w:p>
        </w:tc>
        <w:tc>
          <w:tcPr>
            <w:tcW w:type="dxa" w:w="331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Account creation flow validated successfully.</w:t>
            </w:r>
          </w:p>
        </w:tc>
        <w:tc>
          <w:tcPr>
            <w:tcW w:type="dxa" w:w="1152"/>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PASS</w:t>
            </w:r>
          </w:p>
        </w:tc>
      </w:tr>
      <w:tr>
        <w:tc>
          <w:tcPr>
            <w:tcW w:type="dxa" w:w="1152"/>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TC02</w:t>
            </w:r>
          </w:p>
        </w:tc>
        <w:tc>
          <w:tcPr>
            <w:tcW w:type="dxa" w:w="331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Valid credentials authenticate the user.</w:t>
            </w:r>
          </w:p>
        </w:tc>
        <w:tc>
          <w:tcPr>
            <w:tcW w:type="dxa" w:w="331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Authentication flow executed successfully.</w:t>
            </w:r>
          </w:p>
        </w:tc>
        <w:tc>
          <w:tcPr>
            <w:tcW w:type="dxa" w:w="1152"/>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PASS</w:t>
            </w:r>
          </w:p>
        </w:tc>
      </w:tr>
      <w:tr>
        <w:tc>
          <w:tcPr>
            <w:tcW w:type="dxa" w:w="1152"/>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TC03</w:t>
            </w:r>
          </w:p>
        </w:tc>
        <w:tc>
          <w:tcPr>
            <w:tcW w:type="dxa" w:w="331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Password reset succeeds with a valid token.</w:t>
            </w:r>
          </w:p>
        </w:tc>
        <w:tc>
          <w:tcPr>
            <w:tcW w:type="dxa" w:w="331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Reset flow executed successfully.</w:t>
            </w:r>
          </w:p>
        </w:tc>
        <w:tc>
          <w:tcPr>
            <w:tcW w:type="dxa" w:w="1152"/>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PASS</w:t>
            </w:r>
          </w:p>
        </w:tc>
      </w:tr>
      <w:tr>
        <w:tc>
          <w:tcPr>
            <w:tcW w:type="dxa" w:w="1152"/>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TC04</w:t>
            </w:r>
          </w:p>
        </w:tc>
        <w:tc>
          <w:tcPr>
            <w:tcW w:type="dxa" w:w="331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Expired reset token is rejected.</w:t>
            </w:r>
          </w:p>
        </w:tc>
        <w:tc>
          <w:tcPr>
            <w:tcW w:type="dxa" w:w="331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Proper rejection response was returned.</w:t>
            </w:r>
          </w:p>
        </w:tc>
        <w:tc>
          <w:tcPr>
            <w:tcW w:type="dxa" w:w="1152"/>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PASS</w:t>
            </w:r>
          </w:p>
        </w:tc>
      </w:tr>
      <w:tr>
        <w:tc>
          <w:tcPr>
            <w:tcW w:type="dxa" w:w="1152"/>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TC05</w:t>
            </w:r>
          </w:p>
        </w:tc>
        <w:tc>
          <w:tcPr>
            <w:tcW w:type="dxa" w:w="331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Published article is stored and listed.</w:t>
            </w:r>
          </w:p>
        </w:tc>
        <w:tc>
          <w:tcPr>
            <w:tcW w:type="dxa" w:w="331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Article creation and retrieval worked correctly.</w:t>
            </w:r>
          </w:p>
        </w:tc>
        <w:tc>
          <w:tcPr>
            <w:tcW w:type="dxa" w:w="1152"/>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PASS</w:t>
            </w:r>
          </w:p>
        </w:tc>
      </w:tr>
      <w:tr>
        <w:tc>
          <w:tcPr>
            <w:tcW w:type="dxa" w:w="1152"/>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TC06</w:t>
            </w:r>
          </w:p>
        </w:tc>
        <w:tc>
          <w:tcPr>
            <w:tcW w:type="dxa" w:w="331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Saved article behavior works correctly.</w:t>
            </w:r>
          </w:p>
        </w:tc>
        <w:tc>
          <w:tcPr>
            <w:tcW w:type="dxa" w:w="331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Save and unsave actions behaved correctly.</w:t>
            </w:r>
          </w:p>
        </w:tc>
        <w:tc>
          <w:tcPr>
            <w:tcW w:type="dxa" w:w="1152"/>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PASS</w:t>
            </w:r>
          </w:p>
        </w:tc>
      </w:tr>
      <w:tr>
        <w:tc>
          <w:tcPr>
            <w:tcW w:type="dxa" w:w="1152"/>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TC07</w:t>
            </w:r>
          </w:p>
        </w:tc>
        <w:tc>
          <w:tcPr>
            <w:tcW w:type="dxa" w:w="331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Search returns valid results for articles and users.</w:t>
            </w:r>
          </w:p>
        </w:tc>
        <w:tc>
          <w:tcPr>
            <w:tcW w:type="dxa" w:w="331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Categorized results were returned correctly.</w:t>
            </w:r>
          </w:p>
        </w:tc>
        <w:tc>
          <w:tcPr>
            <w:tcW w:type="dxa" w:w="1152"/>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PASS</w:t>
            </w:r>
          </w:p>
        </w:tc>
      </w:tr>
      <w:tr>
        <w:tc>
          <w:tcPr>
            <w:tcW w:type="dxa" w:w="1152"/>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TC08</w:t>
            </w:r>
          </w:p>
        </w:tc>
        <w:tc>
          <w:tcPr>
            <w:tcW w:type="dxa" w:w="331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Invalid article dates do not break article listing.</w:t>
            </w:r>
          </w:p>
        </w:tc>
        <w:tc>
          <w:tcPr>
            <w:tcW w:type="dxa" w:w="331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Fallback display behavior was validated.</w:t>
            </w:r>
          </w:p>
        </w:tc>
        <w:tc>
          <w:tcPr>
            <w:tcW w:type="dxa" w:w="1152"/>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PASS</w:t>
            </w:r>
          </w:p>
        </w:tc>
      </w:tr>
    </w:tbl>
    <w:p/>
    <w:p>
      <w:r>
        <w:rPr>
          <w:rFonts w:ascii="Calibri" w:hAnsi="Calibri"/>
          <w:b w:val="0"/>
          <w:color w:val="242424"/>
          <w:sz w:val="21"/>
        </w:rPr>
        <w:t>Analysis: Functional execution matched expectations for the validated backend and integration workflows. Authentication, article management, saved article flows, and search behavior were all confirmed as stable in the tested scope.</w:t>
      </w:r>
    </w:p>
    <w:tbl>
      <w:tblPr>
        <w:tblW w:type="auto" w:w="0"/>
        <w:jc w:val="center"/>
        <w:tblLayout w:type="fixed"/>
        <w:tblLook w:firstColumn="1" w:firstRow="1" w:lastColumn="0" w:lastRow="0" w:noHBand="0" w:noVBand="1" w:val="04A0"/>
      </w:tblPr>
      <w:tblGrid>
        <w:gridCol w:w="9632"/>
      </w:tblGrid>
      <w:tr>
        <w:tc>
          <w:tcPr>
            <w:tcW w:type="dxa" w:w="8928"/>
            <w:vAlign w:val="center"/>
            <w:shd w:fill="F7F9FC"/>
            <w:tcBorders>
              <w:top w:val="single" w:sz="8" w:color="9FB4CC"/>
              <w:left w:val="single" w:sz="8" w:color="9FB4CC"/>
              <w:bottom w:val="single" w:sz="8" w:color="9FB4CC"/>
              <w:right w:val="single" w:sz="8" w:color="9FB4CC"/>
            </w:tcBorders>
          </w:tcPr>
          <w:p>
            <w:pPr>
              <w:spacing w:after="40"/>
              <w:jc w:val="left"/>
            </w:pPr>
            <w:r>
              <w:rPr>
                <w:rFonts w:ascii="Calibri" w:hAnsi="Calibri"/>
                <w:b/>
                <w:color w:val="1F4E79"/>
                <w:sz w:val="20"/>
              </w:rPr>
              <w:t>Screenshot B - Successful Authentication / Dashboard Access</w:t>
              <w:br/>
            </w:r>
          </w:p>
          <w:p>
            <w:pPr>
              <w:spacing w:after="40"/>
              <w:jc w:val="left"/>
            </w:pPr>
            <w:r>
              <w:rPr>
                <w:rFonts w:ascii="Calibri" w:hAnsi="Calibri"/>
                <w:b w:val="0"/>
                <w:color w:val="242424"/>
                <w:sz w:val="20"/>
              </w:rPr>
              <w:t>Placement: Insert after Section 4.1</w:t>
              <w:br/>
            </w:r>
          </w:p>
          <w:p>
            <w:pPr>
              <w:spacing w:after="40"/>
              <w:jc w:val="left"/>
            </w:pPr>
            <w:r>
              <w:rPr>
                <w:rFonts w:ascii="Calibri" w:hAnsi="Calibri"/>
                <w:b w:val="0"/>
                <w:color w:val="242424"/>
                <w:sz w:val="20"/>
              </w:rPr>
              <w:t>Capture guidance: Show the authenticated state after signin, such as the dashboard, profile menu, or logged-in landing screen.</w:t>
            </w:r>
          </w:p>
        </w:tc>
      </w:tr>
    </w:tbl>
    <w:p/>
    <w:tbl>
      <w:tblPr>
        <w:tblW w:type="auto" w:w="0"/>
        <w:jc w:val="center"/>
        <w:tblLayout w:type="fixed"/>
        <w:tblLook w:firstColumn="1" w:firstRow="1" w:lastColumn="0" w:lastRow="0" w:noHBand="0" w:noVBand="1" w:val="04A0"/>
      </w:tblPr>
      <w:tblGrid>
        <w:gridCol w:w="9632"/>
      </w:tblGrid>
      <w:tr>
        <w:tc>
          <w:tcPr>
            <w:tcW w:type="dxa" w:w="8928"/>
            <w:vAlign w:val="center"/>
            <w:shd w:fill="F7F9FC"/>
            <w:tcBorders>
              <w:top w:val="single" w:sz="8" w:color="9FB4CC"/>
              <w:left w:val="single" w:sz="8" w:color="9FB4CC"/>
              <w:bottom w:val="single" w:sz="8" w:color="9FB4CC"/>
              <w:right w:val="single" w:sz="8" w:color="9FB4CC"/>
            </w:tcBorders>
          </w:tcPr>
          <w:p>
            <w:pPr>
              <w:spacing w:after="40"/>
              <w:jc w:val="left"/>
            </w:pPr>
            <w:r>
              <w:rPr>
                <w:rFonts w:ascii="Calibri" w:hAnsi="Calibri"/>
                <w:b/>
                <w:color w:val="1F4E79"/>
                <w:sz w:val="20"/>
              </w:rPr>
              <w:t>Screenshot C - Article Creation or Article List View</w:t>
              <w:br/>
            </w:r>
          </w:p>
          <w:p>
            <w:pPr>
              <w:spacing w:after="40"/>
              <w:jc w:val="left"/>
            </w:pPr>
            <w:r>
              <w:rPr>
                <w:rFonts w:ascii="Calibri" w:hAnsi="Calibri"/>
                <w:b w:val="0"/>
                <w:color w:val="242424"/>
                <w:sz w:val="20"/>
              </w:rPr>
              <w:t>Placement: Insert after Screenshot B</w:t>
              <w:br/>
            </w:r>
          </w:p>
          <w:p>
            <w:pPr>
              <w:spacing w:after="40"/>
              <w:jc w:val="left"/>
            </w:pPr>
            <w:r>
              <w:rPr>
                <w:rFonts w:ascii="Calibri" w:hAnsi="Calibri"/>
                <w:b w:val="0"/>
                <w:color w:val="242424"/>
                <w:sz w:val="20"/>
              </w:rPr>
              <w:t>Capture guidance: Show either a successfully created article or the article list displaying published content.</w:t>
            </w:r>
          </w:p>
        </w:tc>
      </w:tr>
    </w:tbl>
    <w:p/>
    <w:p>
      <w:pPr>
        <w:pStyle w:val="Heading2"/>
        <w:spacing w:before="120" w:after="80"/>
      </w:pPr>
      <w:r>
        <w:t>4.2 Security Testing</w:t>
      </w:r>
    </w:p>
    <w:p>
      <w:r>
        <w:rPr>
          <w:rFonts w:ascii="Calibri" w:hAnsi="Calibri"/>
          <w:b w:val="0"/>
          <w:color w:val="242424"/>
          <w:sz w:val="21"/>
        </w:rPr>
        <w:t>The executed security-related scope focused on access control and validation behavior rather than a full offensive security campaign.</w:t>
      </w:r>
    </w:p>
    <w:p>
      <w:pPr>
        <w:pStyle w:val="ListBullet"/>
      </w:pPr>
      <w:r>
        <w:rPr>
          <w:rFonts w:ascii="Calibri" w:hAnsi="Calibri"/>
          <w:b w:val="0"/>
          <w:color w:val="242424"/>
          <w:sz w:val="21"/>
        </w:rPr>
        <w:t>Invalid credentials were rejected correctly.</w:t>
      </w:r>
    </w:p>
    <w:p>
      <w:pPr>
        <w:pStyle w:val="ListBullet"/>
      </w:pPr>
      <w:r>
        <w:rPr>
          <w:rFonts w:ascii="Calibri" w:hAnsi="Calibri"/>
          <w:b w:val="0"/>
          <w:color w:val="242424"/>
          <w:sz w:val="21"/>
        </w:rPr>
        <w:t>Unauthorized access to protected actions was blocked.</w:t>
      </w:r>
    </w:p>
    <w:p>
      <w:pPr>
        <w:pStyle w:val="ListBullet"/>
      </w:pPr>
      <w:r>
        <w:rPr>
          <w:rFonts w:ascii="Calibri" w:hAnsi="Calibri"/>
          <w:b w:val="0"/>
          <w:color w:val="242424"/>
          <w:sz w:val="21"/>
        </w:rPr>
        <w:t>Expired password reset tokens were rejected.</w:t>
      </w:r>
    </w:p>
    <w:p>
      <w:pPr>
        <w:pStyle w:val="ListBullet"/>
      </w:pPr>
      <w:r>
        <w:rPr>
          <w:rFonts w:ascii="Calibri" w:hAnsi="Calibri"/>
          <w:b w:val="0"/>
          <w:color w:val="242424"/>
          <w:sz w:val="21"/>
        </w:rPr>
        <w:t>Invalid request payloads and invalid resource identifiers were handled safely.</w:t>
      </w:r>
    </w:p>
    <w:p>
      <w:r>
        <w:rPr>
          <w:rFonts w:ascii="Calibri" w:hAnsi="Calibri"/>
          <w:b w:val="0"/>
          <w:color w:val="242424"/>
          <w:sz w:val="21"/>
        </w:rPr>
        <w:t>Result interpretation: The system resisted the tested access-control and validation failures within the executed scope. Advanced offensive tests such as formal SQL Injection and XSS attack campaigns were not part of this validation cycle.</w:t>
      </w:r>
    </w:p>
    <w:tbl>
      <w:tblPr>
        <w:tblW w:type="auto" w:w="0"/>
        <w:jc w:val="center"/>
        <w:tblLayout w:type="fixed"/>
        <w:tblLook w:firstColumn="1" w:firstRow="1" w:lastColumn="0" w:lastRow="0" w:noHBand="0" w:noVBand="1" w:val="04A0"/>
      </w:tblPr>
      <w:tblGrid>
        <w:gridCol w:w="9632"/>
      </w:tblGrid>
      <w:tr>
        <w:tc>
          <w:tcPr>
            <w:tcW w:type="dxa" w:w="8928"/>
            <w:vAlign w:val="center"/>
            <w:shd w:fill="F7F9FC"/>
            <w:tcBorders>
              <w:top w:val="single" w:sz="8" w:color="9FB4CC"/>
              <w:left w:val="single" w:sz="8" w:color="9FB4CC"/>
              <w:bottom w:val="single" w:sz="8" w:color="9FB4CC"/>
              <w:right w:val="single" w:sz="8" w:color="9FB4CC"/>
            </w:tcBorders>
          </w:tcPr>
          <w:p>
            <w:pPr>
              <w:spacing w:after="40"/>
              <w:jc w:val="left"/>
            </w:pPr>
            <w:r>
              <w:rPr>
                <w:rFonts w:ascii="Calibri" w:hAnsi="Calibri"/>
                <w:b/>
                <w:color w:val="1F4E79"/>
                <w:sz w:val="20"/>
              </w:rPr>
              <w:t>Screenshot D - Rejected Invalid Login or Unauthorized Access</w:t>
              <w:br/>
            </w:r>
          </w:p>
          <w:p>
            <w:pPr>
              <w:spacing w:after="40"/>
              <w:jc w:val="left"/>
            </w:pPr>
            <w:r>
              <w:rPr>
                <w:rFonts w:ascii="Calibri" w:hAnsi="Calibri"/>
                <w:b w:val="0"/>
                <w:color w:val="242424"/>
                <w:sz w:val="20"/>
              </w:rPr>
              <w:t>Placement: Insert after Section 4.2</w:t>
              <w:br/>
            </w:r>
          </w:p>
          <w:p>
            <w:pPr>
              <w:spacing w:after="40"/>
              <w:jc w:val="left"/>
            </w:pPr>
            <w:r>
              <w:rPr>
                <w:rFonts w:ascii="Calibri" w:hAnsi="Calibri"/>
                <w:b w:val="0"/>
                <w:color w:val="242424"/>
                <w:sz w:val="20"/>
              </w:rPr>
              <w:t>Capture guidance: Capture an invalid signin response, a blocked protected endpoint, or another clear example of access-control enforcement.</w:t>
            </w:r>
          </w:p>
        </w:tc>
      </w:tr>
    </w:tbl>
    <w:p/>
    <w:p>
      <w:pPr>
        <w:pStyle w:val="Heading2"/>
        <w:spacing w:before="120" w:after="80"/>
      </w:pPr>
      <w:r>
        <w:t>4.3 Performance Testing</w:t>
      </w:r>
    </w:p>
    <w:p>
      <w:r>
        <w:rPr>
          <w:rFonts w:ascii="Calibri" w:hAnsi="Calibri"/>
          <w:b w:val="0"/>
          <w:color w:val="242424"/>
          <w:sz w:val="21"/>
        </w:rPr>
        <w:t>No dedicated load campaign using JMeter or an equivalent performance framework was executed during this test cycle.</w:t>
      </w:r>
    </w:p>
    <w:p>
      <w:pPr>
        <w:pStyle w:val="ListBullet"/>
      </w:pPr>
      <w:r>
        <w:rPr>
          <w:rFonts w:ascii="Calibri" w:hAnsi="Calibri"/>
          <w:b w:val="0"/>
          <w:color w:val="242424"/>
          <w:sz w:val="21"/>
        </w:rPr>
        <w:t>Average response time: not formally measured under concurrent load</w:t>
      </w:r>
    </w:p>
    <w:p>
      <w:pPr>
        <w:pStyle w:val="ListBullet"/>
      </w:pPr>
      <w:r>
        <w:rPr>
          <w:rFonts w:ascii="Calibri" w:hAnsi="Calibri"/>
          <w:b w:val="0"/>
          <w:color w:val="242424"/>
          <w:sz w:val="21"/>
        </w:rPr>
        <w:t>Error rate: not formally measured under simulated concurrency</w:t>
      </w:r>
    </w:p>
    <w:p>
      <w:r>
        <w:rPr>
          <w:rFonts w:ascii="Calibri" w:hAnsi="Calibri"/>
          <w:b w:val="0"/>
          <w:color w:val="242424"/>
          <w:sz w:val="21"/>
        </w:rPr>
        <w:t>Interpretation: Functional stability was confirmed, but production-scale capacity cannot be concluded without a dedicated performance test campaign.</w:t>
      </w:r>
    </w:p>
    <w:tbl>
      <w:tblPr>
        <w:tblW w:type="auto" w:w="0"/>
        <w:jc w:val="center"/>
        <w:tblLayout w:type="fixed"/>
        <w:tblLook w:firstColumn="1" w:firstRow="1" w:lastColumn="0" w:lastRow="0" w:noHBand="0" w:noVBand="1" w:val="04A0"/>
      </w:tblPr>
      <w:tblGrid>
        <w:gridCol w:w="9632"/>
      </w:tblGrid>
      <w:tr>
        <w:tc>
          <w:tcPr>
            <w:tcW w:type="dxa" w:w="8928"/>
            <w:vAlign w:val="center"/>
            <w:shd w:fill="F7F9FC"/>
            <w:tcBorders>
              <w:top w:val="single" w:sz="8" w:color="9FB4CC"/>
              <w:left w:val="single" w:sz="8" w:color="9FB4CC"/>
              <w:bottom w:val="single" w:sz="8" w:color="9FB4CC"/>
              <w:right w:val="single" w:sz="8" w:color="9FB4CC"/>
            </w:tcBorders>
          </w:tcPr>
          <w:p>
            <w:pPr>
              <w:spacing w:after="40"/>
              <w:jc w:val="left"/>
            </w:pPr>
            <w:r>
              <w:rPr>
                <w:rFonts w:ascii="Calibri" w:hAnsi="Calibri"/>
                <w:b/>
                <w:color w:val="1F4E79"/>
                <w:sz w:val="20"/>
              </w:rPr>
              <w:t>Screenshot E - Performance Evidence (Optional)</w:t>
              <w:br/>
            </w:r>
          </w:p>
          <w:p>
            <w:pPr>
              <w:spacing w:after="40"/>
              <w:jc w:val="left"/>
            </w:pPr>
            <w:r>
              <w:rPr>
                <w:rFonts w:ascii="Calibri" w:hAnsi="Calibri"/>
                <w:b w:val="0"/>
                <w:color w:val="242424"/>
                <w:sz w:val="20"/>
              </w:rPr>
              <w:t>Placement: Insert after Section 4.3 only if you later execute JMeter or another load test.</w:t>
              <w:br/>
            </w:r>
          </w:p>
          <w:p>
            <w:pPr>
              <w:spacing w:after="40"/>
              <w:jc w:val="left"/>
            </w:pPr>
            <w:r>
              <w:rPr>
                <w:rFonts w:ascii="Calibri" w:hAnsi="Calibri"/>
                <w:b w:val="0"/>
                <w:color w:val="242424"/>
                <w:sz w:val="20"/>
              </w:rPr>
              <w:t>Capture guidance: Use a summary graph, throughput chart, or response-time report generated by the performance tool.</w:t>
            </w:r>
          </w:p>
        </w:tc>
      </w:tr>
    </w:tbl>
    <w:p/>
    <w:p>
      <w:pPr>
        <w:pStyle w:val="Heading1"/>
        <w:spacing w:before="200" w:after="80"/>
      </w:pPr>
      <w:r>
        <w:t>5 Defect Analysis</w:t>
      </w:r>
    </w:p>
    <w:tbl>
      <w:tblPr>
        <w:tblW w:type="auto" w:w="0"/>
        <w:jc w:val="center"/>
        <w:tblLayout w:type="fixed"/>
        <w:tblLook w:firstColumn="1" w:firstRow="1" w:lastColumn="0" w:lastRow="0" w:noHBand="0" w:noVBand="1" w:val="04A0"/>
      </w:tblPr>
      <w:tblGrid>
        <w:gridCol w:w="2408"/>
        <w:gridCol w:w="2408"/>
        <w:gridCol w:w="2408"/>
        <w:gridCol w:w="2408"/>
      </w:tblGrid>
      <w:tr>
        <w:tc>
          <w:tcPr>
            <w:tcW w:type="dxa" w:w="1008"/>
            <w:vAlign w:val="center"/>
            <w:shd w:fill="D9EAF7"/>
            <w:tcBorders>
              <w:top w:val="single" w:sz="8" w:color="C9D4E2"/>
              <w:left w:val="single" w:sz="8" w:color="C9D4E2"/>
              <w:bottom w:val="single" w:sz="8" w:color="C9D4E2"/>
              <w:right w:val="single" w:sz="8" w:color="C9D4E2"/>
            </w:tcBorders>
          </w:tcPr>
          <w:p>
            <w:pPr>
              <w:jc w:val="center"/>
            </w:pPr>
            <w:r>
              <w:rPr>
                <w:rFonts w:ascii="Calibri" w:hAnsi="Calibri"/>
                <w:b/>
                <w:color w:val="1F4E79"/>
                <w:sz w:val="20"/>
              </w:rPr>
              <w:t>ID</w:t>
            </w:r>
          </w:p>
        </w:tc>
        <w:tc>
          <w:tcPr>
            <w:tcW w:type="dxa" w:w="5472"/>
            <w:vAlign w:val="center"/>
            <w:shd w:fill="D9EAF7"/>
            <w:tcBorders>
              <w:top w:val="single" w:sz="8" w:color="C9D4E2"/>
              <w:left w:val="single" w:sz="8" w:color="C9D4E2"/>
              <w:bottom w:val="single" w:sz="8" w:color="C9D4E2"/>
              <w:right w:val="single" w:sz="8" w:color="C9D4E2"/>
            </w:tcBorders>
          </w:tcPr>
          <w:p>
            <w:pPr>
              <w:jc w:val="left"/>
            </w:pPr>
            <w:r>
              <w:rPr>
                <w:rFonts w:ascii="Calibri" w:hAnsi="Calibri"/>
                <w:b/>
                <w:color w:val="1F4E79"/>
                <w:sz w:val="20"/>
              </w:rPr>
              <w:t>Description</w:t>
            </w:r>
          </w:p>
        </w:tc>
        <w:tc>
          <w:tcPr>
            <w:tcW w:type="dxa" w:w="1296"/>
            <w:vAlign w:val="center"/>
            <w:shd w:fill="D9EAF7"/>
            <w:tcBorders>
              <w:top w:val="single" w:sz="8" w:color="C9D4E2"/>
              <w:left w:val="single" w:sz="8" w:color="C9D4E2"/>
              <w:bottom w:val="single" w:sz="8" w:color="C9D4E2"/>
              <w:right w:val="single" w:sz="8" w:color="C9D4E2"/>
            </w:tcBorders>
          </w:tcPr>
          <w:p>
            <w:pPr>
              <w:jc w:val="center"/>
            </w:pPr>
            <w:r>
              <w:rPr>
                <w:rFonts w:ascii="Calibri" w:hAnsi="Calibri"/>
                <w:b/>
                <w:color w:val="1F4E79"/>
                <w:sz w:val="20"/>
              </w:rPr>
              <w:t>Severity</w:t>
            </w:r>
          </w:p>
        </w:tc>
        <w:tc>
          <w:tcPr>
            <w:tcW w:type="dxa" w:w="1152"/>
            <w:vAlign w:val="center"/>
            <w:shd w:fill="D9EAF7"/>
            <w:tcBorders>
              <w:top w:val="single" w:sz="8" w:color="C9D4E2"/>
              <w:left w:val="single" w:sz="8" w:color="C9D4E2"/>
              <w:bottom w:val="single" w:sz="8" w:color="C9D4E2"/>
              <w:right w:val="single" w:sz="8" w:color="C9D4E2"/>
            </w:tcBorders>
          </w:tcPr>
          <w:p>
            <w:pPr>
              <w:jc w:val="center"/>
            </w:pPr>
            <w:r>
              <w:rPr>
                <w:rFonts w:ascii="Calibri" w:hAnsi="Calibri"/>
                <w:b/>
                <w:color w:val="1F4E79"/>
                <w:sz w:val="20"/>
              </w:rPr>
              <w:t>Status</w:t>
            </w:r>
          </w:p>
        </w:tc>
      </w:tr>
      <w:tr>
        <w:tc>
          <w:tcPr>
            <w:tcW w:type="dxa" w:w="1008"/>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BUG01</w:t>
            </w:r>
          </w:p>
        </w:tc>
        <w:tc>
          <w:tcPr>
            <w:tcW w:type="dxa" w:w="547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Article feed cannot always be fully scrolled, preventing the user from seeing all article content.</w:t>
            </w:r>
          </w:p>
        </w:tc>
        <w:tc>
          <w:tcPr>
            <w:tcW w:type="dxa" w:w="1296"/>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Major</w:t>
            </w:r>
          </w:p>
        </w:tc>
        <w:tc>
          <w:tcPr>
            <w:tcW w:type="dxa" w:w="1152"/>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Open</w:t>
            </w:r>
          </w:p>
        </w:tc>
      </w:tr>
      <w:tr>
        <w:tc>
          <w:tcPr>
            <w:tcW w:type="dxa" w:w="1008"/>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BUG02</w:t>
            </w:r>
          </w:p>
        </w:tc>
        <w:tc>
          <w:tcPr>
            <w:tcW w:type="dxa" w:w="547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MySQL native prepare issue caused invalid parameter errors in article search.</w:t>
            </w:r>
          </w:p>
        </w:tc>
        <w:tc>
          <w:tcPr>
            <w:tcW w:type="dxa" w:w="1296"/>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Major</w:t>
            </w:r>
          </w:p>
        </w:tc>
        <w:tc>
          <w:tcPr>
            <w:tcW w:type="dxa" w:w="1152"/>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Fixed</w:t>
            </w:r>
          </w:p>
        </w:tc>
      </w:tr>
      <w:tr>
        <w:tc>
          <w:tcPr>
            <w:tcW w:type="dxa" w:w="1008"/>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BUG03</w:t>
            </w:r>
          </w:p>
        </w:tc>
        <w:tc>
          <w:tcPr>
            <w:tcW w:type="dxa" w:w="547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Password reset integration tests originally used SQLite-style schema incompatible with MySQL/MariaDB.</w:t>
            </w:r>
          </w:p>
        </w:tc>
        <w:tc>
          <w:tcPr>
            <w:tcW w:type="dxa" w:w="1296"/>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Major</w:t>
            </w:r>
          </w:p>
        </w:tc>
        <w:tc>
          <w:tcPr>
            <w:tcW w:type="dxa" w:w="1152"/>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Fixed</w:t>
            </w:r>
          </w:p>
        </w:tc>
      </w:tr>
      <w:tr>
        <w:tc>
          <w:tcPr>
            <w:tcW w:type="dxa" w:w="1008"/>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BUG04</w:t>
            </w:r>
          </w:p>
        </w:tc>
        <w:tc>
          <w:tcPr>
            <w:tcW w:type="dxa" w:w="547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Invalid article dates could display an incorrect formatted value instead of a safe fallback.</w:t>
            </w:r>
          </w:p>
        </w:tc>
        <w:tc>
          <w:tcPr>
            <w:tcW w:type="dxa" w:w="1296"/>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Minor</w:t>
            </w:r>
          </w:p>
        </w:tc>
        <w:tc>
          <w:tcPr>
            <w:tcW w:type="dxa" w:w="1152"/>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Fixed</w:t>
            </w:r>
          </w:p>
        </w:tc>
      </w:tr>
    </w:tbl>
    <w:p/>
    <w:p>
      <w:r>
        <w:rPr>
          <w:rFonts w:ascii="Calibri" w:hAnsi="Calibri"/>
          <w:b w:val="0"/>
          <w:color w:val="242424"/>
          <w:sz w:val="21"/>
        </w:rPr>
        <w:t>Severity levels: Critical means the system is unusable, Major means an important feature is impacted, and Minor means the issue has limited functional impact.</w:t>
      </w:r>
    </w:p>
    <w:tbl>
      <w:tblPr>
        <w:tblW w:type="auto" w:w="0"/>
        <w:jc w:val="center"/>
        <w:tblLayout w:type="fixed"/>
        <w:tblLook w:firstColumn="1" w:firstRow="1" w:lastColumn="0" w:lastRow="0" w:noHBand="0" w:noVBand="1" w:val="04A0"/>
      </w:tblPr>
      <w:tblGrid>
        <w:gridCol w:w="9632"/>
      </w:tblGrid>
      <w:tr>
        <w:tc>
          <w:tcPr>
            <w:tcW w:type="dxa" w:w="8928"/>
            <w:vAlign w:val="center"/>
            <w:shd w:fill="F7F9FC"/>
            <w:tcBorders>
              <w:top w:val="single" w:sz="8" w:color="9FB4CC"/>
              <w:left w:val="single" w:sz="8" w:color="9FB4CC"/>
              <w:bottom w:val="single" w:sz="8" w:color="9FB4CC"/>
              <w:right w:val="single" w:sz="8" w:color="9FB4CC"/>
            </w:tcBorders>
          </w:tcPr>
          <w:p>
            <w:pPr>
              <w:spacing w:after="40"/>
              <w:jc w:val="left"/>
            </w:pPr>
            <w:r>
              <w:rPr>
                <w:rFonts w:ascii="Calibri" w:hAnsi="Calibri"/>
                <w:b/>
                <w:color w:val="1F4E79"/>
                <w:sz w:val="20"/>
              </w:rPr>
              <w:t>Screenshot F - Article Scrolling Defect</w:t>
              <w:br/>
            </w:r>
          </w:p>
          <w:p>
            <w:pPr>
              <w:spacing w:after="40"/>
              <w:jc w:val="left"/>
            </w:pPr>
            <w:r>
              <w:rPr>
                <w:rFonts w:ascii="Calibri" w:hAnsi="Calibri"/>
                <w:b w:val="0"/>
                <w:color w:val="242424"/>
                <w:sz w:val="20"/>
              </w:rPr>
              <w:t>Placement: Insert directly under the BUG01 discussion in Section 5.</w:t>
              <w:br/>
            </w:r>
          </w:p>
          <w:p>
            <w:pPr>
              <w:spacing w:after="40"/>
              <w:jc w:val="left"/>
            </w:pPr>
            <w:r>
              <w:rPr>
                <w:rFonts w:ascii="Calibri" w:hAnsi="Calibri"/>
                <w:b w:val="0"/>
                <w:color w:val="242424"/>
                <w:sz w:val="20"/>
              </w:rPr>
              <w:t>Capture guidance: Capture the article feed with the visible bottom area, the scrollbar position, and the remaining content that the user cannot reach.</w:t>
            </w:r>
          </w:p>
        </w:tc>
      </w:tr>
    </w:tbl>
    <w:p/>
    <w:p>
      <w:pPr>
        <w:pStyle w:val="Heading1"/>
        <w:spacing w:before="200" w:after="80"/>
      </w:pPr>
      <w:r>
        <w:t>6 Quality Metrics</w:t>
      </w:r>
    </w:p>
    <w:p>
      <w:pPr>
        <w:pStyle w:val="ListBullet"/>
      </w:pPr>
      <w:r>
        <w:rPr>
          <w:rFonts w:ascii="Calibri" w:hAnsi="Calibri"/>
          <w:b w:val="0"/>
          <w:color w:val="242424"/>
          <w:sz w:val="21"/>
        </w:rPr>
        <w:t>Automated test success rate: 100%</w:t>
      </w:r>
    </w:p>
    <w:p>
      <w:pPr>
        <w:pStyle w:val="ListBullet"/>
      </w:pPr>
      <w:r>
        <w:rPr>
          <w:rFonts w:ascii="Calibri" w:hAnsi="Calibri"/>
          <w:b w:val="0"/>
          <w:color w:val="242424"/>
          <w:sz w:val="21"/>
        </w:rPr>
        <w:t>Total automated tests executed: 84</w:t>
      </w:r>
    </w:p>
    <w:p>
      <w:pPr>
        <w:pStyle w:val="ListBullet"/>
      </w:pPr>
      <w:r>
        <w:rPr>
          <w:rFonts w:ascii="Calibri" w:hAnsi="Calibri"/>
          <w:b w:val="0"/>
          <w:color w:val="242424"/>
          <w:sz w:val="21"/>
        </w:rPr>
        <w:t>Automated failures remaining after correction: 0</w:t>
      </w:r>
    </w:p>
    <w:p>
      <w:pPr>
        <w:pStyle w:val="ListBullet"/>
      </w:pPr>
      <w:r>
        <w:rPr>
          <w:rFonts w:ascii="Calibri" w:hAnsi="Calibri"/>
          <w:b w:val="0"/>
          <w:color w:val="242424"/>
          <w:sz w:val="21"/>
        </w:rPr>
        <w:t>Known manual interface defect still requiring closure: article scrolling issue (if still reproducible)</w:t>
      </w:r>
    </w:p>
    <w:p>
      <w:r>
        <w:rPr>
          <w:rFonts w:ascii="Calibri" w:hAnsi="Calibri"/>
          <w:b w:val="0"/>
          <w:color w:val="242424"/>
          <w:sz w:val="21"/>
        </w:rPr>
        <w:t>Interpretation: Backend and integration quality are strong in the validated scope. Remaining risk is concentrated in user-interface usability and in non-executed performance and advanced security campaigns.</w:t>
      </w:r>
    </w:p>
    <w:p>
      <w:pPr>
        <w:pStyle w:val="Heading1"/>
        <w:spacing w:before="200" w:after="80"/>
      </w:pPr>
      <w:r>
        <w:t>7 Discussion and Interpretation</w:t>
      </w:r>
    </w:p>
    <w:p>
      <w:r>
        <w:rPr>
          <w:rFonts w:ascii="Calibri" w:hAnsi="Calibri"/>
          <w:b w:val="0"/>
          <w:color w:val="242424"/>
          <w:sz w:val="21"/>
        </w:rPr>
        <w:t>The validated results indicate that the system is stable across the tested backend and integration workflows. Core business features such as authentication, article creation and management, search, saved article behavior, and password reset logic behaved correctly against the MySQL-backed environment.</w:t>
      </w:r>
    </w:p>
    <w:p>
      <w:r>
        <w:rPr>
          <w:rFonts w:ascii="Calibri" w:hAnsi="Calibri"/>
          <w:b w:val="0"/>
          <w:color w:val="242424"/>
          <w:sz w:val="21"/>
        </w:rPr>
        <w:t>However, quality assessment must also include the user interface. The reported scrolling issue is important because it may block access to content even when backend logic is correct. In addition, the absence of a formal load campaign and a full offensive security campaign means performance and hardening conclusions remain limited.</w:t>
      </w:r>
    </w:p>
    <w:p>
      <w:pPr>
        <w:pStyle w:val="Heading1"/>
        <w:spacing w:before="200" w:after="80"/>
      </w:pPr>
      <w:r>
        <w:t>8 Recommendations</w:t>
      </w:r>
    </w:p>
    <w:p>
      <w:pPr>
        <w:pStyle w:val="ListBullet"/>
      </w:pPr>
      <w:r>
        <w:rPr>
          <w:rFonts w:ascii="Calibri" w:hAnsi="Calibri"/>
          <w:b w:val="0"/>
          <w:color w:val="242424"/>
          <w:sz w:val="21"/>
        </w:rPr>
        <w:t>Fix and retest the article scrolling issue as a priority usability correction.</w:t>
      </w:r>
    </w:p>
    <w:p>
      <w:pPr>
        <w:pStyle w:val="ListBullet"/>
      </w:pPr>
      <w:r>
        <w:rPr>
          <w:rFonts w:ascii="Calibri" w:hAnsi="Calibri"/>
          <w:b w:val="0"/>
          <w:color w:val="242424"/>
          <w:sz w:val="21"/>
        </w:rPr>
        <w:t>Run manual cross-browser checks on the article feed and long-page navigation.</w:t>
      </w:r>
    </w:p>
    <w:p>
      <w:pPr>
        <w:pStyle w:val="ListBullet"/>
      </w:pPr>
      <w:r>
        <w:rPr>
          <w:rFonts w:ascii="Calibri" w:hAnsi="Calibri"/>
          <w:b w:val="0"/>
          <w:color w:val="242424"/>
          <w:sz w:val="21"/>
        </w:rPr>
        <w:t>Execute targeted security tests for SQL Injection and XSS.</w:t>
      </w:r>
    </w:p>
    <w:p>
      <w:pPr>
        <w:pStyle w:val="ListBullet"/>
      </w:pPr>
      <w:r>
        <w:rPr>
          <w:rFonts w:ascii="Calibri" w:hAnsi="Calibri"/>
          <w:b w:val="0"/>
          <w:color w:val="242424"/>
          <w:sz w:val="21"/>
        </w:rPr>
        <w:t>Run dedicated load tests using JMeter or an equivalent tool before production release.</w:t>
      </w:r>
    </w:p>
    <w:p>
      <w:pPr>
        <w:pStyle w:val="ListBullet"/>
      </w:pPr>
      <w:r>
        <w:rPr>
          <w:rFonts w:ascii="Calibri" w:hAnsi="Calibri"/>
          <w:b w:val="0"/>
          <w:color w:val="242424"/>
          <w:sz w:val="21"/>
        </w:rPr>
        <w:t>Keep PHPUnit execution in the regular development workflow to prevent regression.</w:t>
      </w:r>
    </w:p>
    <w:p>
      <w:pPr>
        <w:pStyle w:val="Heading1"/>
        <w:spacing w:before="200" w:after="80"/>
      </w:pPr>
      <w:r>
        <w:t>9 Conclusion</w:t>
      </w:r>
    </w:p>
    <w:p>
      <w:r>
        <w:rPr>
          <w:rFonts w:ascii="Calibri" w:hAnsi="Calibri"/>
          <w:b w:val="0"/>
          <w:color w:val="242424"/>
          <w:sz w:val="21"/>
        </w:rPr>
        <w:t>The validated automated scope shows strong backend and integration readiness, with the final confirmed run passing 84 out of 84 tests. The application is functionally solid in the tested environment, but deployment confidence should be strengthened by resolving the remaining scrolling defect and by adding dedicated performance and advanced security campaigns.</w:t>
      </w:r>
    </w:p>
    <w:p>
      <w:pPr>
        <w:pStyle w:val="Heading1"/>
        <w:spacing w:before="200" w:after="80"/>
      </w:pPr>
      <w:r>
        <w:t>Annex - Evidence Placement Guide</w:t>
      </w:r>
    </w:p>
    <w:tbl>
      <w:tblPr>
        <w:tblW w:type="auto" w:w="0"/>
        <w:jc w:val="center"/>
        <w:tblLayout w:type="fixed"/>
        <w:tblLook w:firstColumn="1" w:firstRow="1" w:lastColumn="0" w:lastRow="0" w:noHBand="0" w:noVBand="1" w:val="04A0"/>
      </w:tblPr>
      <w:tblGrid>
        <w:gridCol w:w="3211"/>
        <w:gridCol w:w="3211"/>
        <w:gridCol w:w="3211"/>
      </w:tblGrid>
      <w:tr>
        <w:tc>
          <w:tcPr>
            <w:tcW w:type="dxa" w:w="1440"/>
            <w:vAlign w:val="center"/>
            <w:shd w:fill="D9EAF7"/>
            <w:tcBorders>
              <w:top w:val="single" w:sz="8" w:color="C9D4E2"/>
              <w:left w:val="single" w:sz="8" w:color="C9D4E2"/>
              <w:bottom w:val="single" w:sz="8" w:color="C9D4E2"/>
              <w:right w:val="single" w:sz="8" w:color="C9D4E2"/>
            </w:tcBorders>
          </w:tcPr>
          <w:p>
            <w:pPr>
              <w:jc w:val="center"/>
            </w:pPr>
            <w:r>
              <w:rPr>
                <w:rFonts w:ascii="Calibri" w:hAnsi="Calibri"/>
                <w:b/>
                <w:color w:val="1F4E79"/>
                <w:sz w:val="20"/>
              </w:rPr>
              <w:t>Annex Item</w:t>
            </w:r>
          </w:p>
        </w:tc>
        <w:tc>
          <w:tcPr>
            <w:tcW w:type="dxa" w:w="4320"/>
            <w:vAlign w:val="center"/>
            <w:shd w:fill="D9EAF7"/>
            <w:tcBorders>
              <w:top w:val="single" w:sz="8" w:color="C9D4E2"/>
              <w:left w:val="single" w:sz="8" w:color="C9D4E2"/>
              <w:bottom w:val="single" w:sz="8" w:color="C9D4E2"/>
              <w:right w:val="single" w:sz="8" w:color="C9D4E2"/>
            </w:tcBorders>
          </w:tcPr>
          <w:p>
            <w:pPr>
              <w:jc w:val="left"/>
            </w:pPr>
            <w:r>
              <w:rPr>
                <w:rFonts w:ascii="Calibri" w:hAnsi="Calibri"/>
                <w:b/>
                <w:color w:val="1F4E79"/>
                <w:sz w:val="20"/>
              </w:rPr>
              <w:t>What to Place</w:t>
            </w:r>
          </w:p>
        </w:tc>
        <w:tc>
          <w:tcPr>
            <w:tcW w:type="dxa" w:w="3024"/>
            <w:vAlign w:val="center"/>
            <w:shd w:fill="D9EAF7"/>
            <w:tcBorders>
              <w:top w:val="single" w:sz="8" w:color="C9D4E2"/>
              <w:left w:val="single" w:sz="8" w:color="C9D4E2"/>
              <w:bottom w:val="single" w:sz="8" w:color="C9D4E2"/>
              <w:right w:val="single" w:sz="8" w:color="C9D4E2"/>
            </w:tcBorders>
          </w:tcPr>
          <w:p>
            <w:pPr>
              <w:jc w:val="left"/>
            </w:pPr>
            <w:r>
              <w:rPr>
                <w:rFonts w:ascii="Calibri" w:hAnsi="Calibri"/>
                <w:b/>
                <w:color w:val="1F4E79"/>
                <w:sz w:val="20"/>
              </w:rPr>
              <w:t>Recommended Location</w:t>
            </w:r>
          </w:p>
        </w:tc>
      </w:tr>
      <w:tr>
        <w:tc>
          <w:tcPr>
            <w:tcW w:type="dxa" w:w="1440"/>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Annex A</w:t>
            </w:r>
          </w:p>
        </w:tc>
        <w:tc>
          <w:tcPr>
            <w:tcW w:type="dxa" w:w="4320"/>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PHPUnit pass screenshot</w:t>
            </w:r>
          </w:p>
        </w:tc>
        <w:tc>
          <w:tcPr>
            <w:tcW w:type="dxa" w:w="3024"/>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After Section 3</w:t>
            </w:r>
          </w:p>
        </w:tc>
      </w:tr>
      <w:tr>
        <w:tc>
          <w:tcPr>
            <w:tcW w:type="dxa" w:w="1440"/>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Annex B</w:t>
            </w:r>
          </w:p>
        </w:tc>
        <w:tc>
          <w:tcPr>
            <w:tcW w:type="dxa" w:w="4320"/>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Successful login or dashboard screenshot</w:t>
            </w:r>
          </w:p>
        </w:tc>
        <w:tc>
          <w:tcPr>
            <w:tcW w:type="dxa" w:w="3024"/>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After Section 4.1</w:t>
            </w:r>
          </w:p>
        </w:tc>
      </w:tr>
      <w:tr>
        <w:tc>
          <w:tcPr>
            <w:tcW w:type="dxa" w:w="1440"/>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Annex C</w:t>
            </w:r>
          </w:p>
        </w:tc>
        <w:tc>
          <w:tcPr>
            <w:tcW w:type="dxa" w:w="4320"/>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Article list or created article screenshot</w:t>
            </w:r>
          </w:p>
        </w:tc>
        <w:tc>
          <w:tcPr>
            <w:tcW w:type="dxa" w:w="3024"/>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After Section 4.1</w:t>
            </w:r>
          </w:p>
        </w:tc>
      </w:tr>
      <w:tr>
        <w:tc>
          <w:tcPr>
            <w:tcW w:type="dxa" w:w="1440"/>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Annex D</w:t>
            </w:r>
          </w:p>
        </w:tc>
        <w:tc>
          <w:tcPr>
            <w:tcW w:type="dxa" w:w="4320"/>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Unauthorized access or invalid login screenshot / API response</w:t>
            </w:r>
          </w:p>
        </w:tc>
        <w:tc>
          <w:tcPr>
            <w:tcW w:type="dxa" w:w="3024"/>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After Section 4.2</w:t>
            </w:r>
          </w:p>
        </w:tc>
      </w:tr>
      <w:tr>
        <w:tc>
          <w:tcPr>
            <w:tcW w:type="dxa" w:w="1440"/>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Annex E</w:t>
            </w:r>
          </w:p>
        </w:tc>
        <w:tc>
          <w:tcPr>
            <w:tcW w:type="dxa" w:w="4320"/>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JMeter graph or performance evidence</w:t>
            </w:r>
          </w:p>
        </w:tc>
        <w:tc>
          <w:tcPr>
            <w:tcW w:type="dxa" w:w="3024"/>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After Section 4.3 only if executed</w:t>
            </w:r>
          </w:p>
        </w:tc>
      </w:tr>
      <w:tr>
        <w:tc>
          <w:tcPr>
            <w:tcW w:type="dxa" w:w="1440"/>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Annex F</w:t>
            </w:r>
          </w:p>
        </w:tc>
        <w:tc>
          <w:tcPr>
            <w:tcW w:type="dxa" w:w="4320"/>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Scrolling issue screenshot</w:t>
            </w:r>
          </w:p>
        </w:tc>
        <w:tc>
          <w:tcPr>
            <w:tcW w:type="dxa" w:w="3024"/>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Under Section 5 for BUG01</w:t>
            </w:r>
          </w:p>
        </w:tc>
      </w:tr>
      <w:tr>
        <w:tc>
          <w:tcPr>
            <w:tcW w:type="dxa" w:w="1440"/>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Annex G</w:t>
            </w:r>
          </w:p>
        </w:tc>
        <w:tc>
          <w:tcPr>
            <w:tcW w:type="dxa" w:w="4320"/>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phpMyAdmin screenshot showing relevant stored data</w:t>
            </w:r>
          </w:p>
        </w:tc>
        <w:tc>
          <w:tcPr>
            <w:tcW w:type="dxa" w:w="3024"/>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Near Section 2.1 or at the end of the annex</w:t>
            </w:r>
          </w:p>
        </w:tc>
      </w:tr>
      <w:tr>
        <w:tc>
          <w:tcPr>
            <w:tcW w:type="dxa" w:w="1440"/>
            <w:vAlign w:val="center"/>
            <w:tcBorders>
              <w:top w:val="single" w:sz="8" w:color="C9D4E2"/>
              <w:left w:val="single" w:sz="8" w:color="C9D4E2"/>
              <w:bottom w:val="single" w:sz="8" w:color="C9D4E2"/>
              <w:right w:val="single" w:sz="8" w:color="C9D4E2"/>
            </w:tcBorders>
          </w:tcPr>
          <w:p>
            <w:pPr>
              <w:jc w:val="center"/>
            </w:pPr>
            <w:r>
              <w:rPr>
                <w:rFonts w:ascii="Calibri" w:hAnsi="Calibri"/>
                <w:b w:val="0"/>
                <w:color w:val="242424"/>
                <w:sz w:val="19"/>
              </w:rPr>
              <w:t>Annex H</w:t>
            </w:r>
          </w:p>
        </w:tc>
        <w:tc>
          <w:tcPr>
            <w:tcW w:type="dxa" w:w="4320"/>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Example JSON API response snippets</w:t>
            </w:r>
          </w:p>
        </w:tc>
        <w:tc>
          <w:tcPr>
            <w:tcW w:type="dxa" w:w="3024"/>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At the end of the annex</w:t>
            </w:r>
          </w:p>
        </w:tc>
      </w:tr>
    </w:tbl>
    <w:p/>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E6E6E"/>
        <w:sz w:val="17"/>
      </w:rPr>
      <w:t>IBlog - Final Test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424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