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mbria" w:hAnsi="Cambria"/>
          <w:b/>
          <w:i w:val="0"/>
          <w:color w:val="214E60"/>
          <w:sz w:val="24"/>
        </w:rPr>
        <w:t>PRO-PFE</w:t>
      </w:r>
    </w:p>
    <w:p>
      <w:pPr>
        <w:jc w:val="center"/>
      </w:pPr>
      <w:r>
        <w:rPr>
          <w:rFonts w:ascii="Cambria" w:hAnsi="Cambria"/>
          <w:b/>
          <w:i w:val="0"/>
          <w:color w:val="214E60"/>
          <w:sz w:val="48"/>
        </w:rPr>
        <w:t>Rapport Final de Validation des Tests</w:t>
      </w:r>
    </w:p>
    <w:p>
      <w:pPr>
        <w:jc w:val="center"/>
      </w:pPr>
      <w:r>
        <w:rPr>
          <w:rFonts w:ascii="Calibri" w:hAnsi="Calibri"/>
          <w:b w:val="0"/>
          <w:i w:val="0"/>
          <w:color w:val="606870"/>
          <w:sz w:val="26"/>
        </w:rPr>
        <w:t>Exécution réelle de la campagne de validation IBlog</w:t>
      </w:r>
    </w:p>
    <w:p>
      <w:pPr>
        <w:jc w:val="center"/>
        <w:pBdr>
          <w:bottom w:val="single" w:sz="8" w:space="1" w:color="214E60"/>
        </w:pBdr>
      </w:pPr>
    </w:p>
    <w:tbl>
      <w:tblPr>
        <w:tblStyle w:val="TableGrid"/>
        <w:tblW w:type="auto" w:w="0"/>
        <w:jc w:val="center"/>
        <w:tblLook w:firstColumn="1" w:firstRow="1" w:lastColumn="0" w:lastRow="0" w:noHBand="0" w:noVBand="1" w:val="04A0"/>
      </w:tblPr>
      <w:tblGrid>
        <w:gridCol w:w="4873"/>
        <w:gridCol w:w="4873"/>
      </w:tblGrid>
      <w:tr>
        <w:tc>
          <w:tcPr>
            <w:tcW w:type="dxa" w:w="4873"/>
            <w:shd w:fill="E4EFF3"/>
            <w:vAlign w:val="center"/>
          </w:tcPr>
          <w:p>
            <w:r>
              <w:rPr>
                <w:rFonts w:ascii="Calibri" w:hAnsi="Calibri"/>
                <w:b/>
                <w:i w:val="0"/>
                <w:color w:val="214E60"/>
                <w:sz w:val="20"/>
              </w:rPr>
              <w:t>Projet</w:t>
            </w:r>
          </w:p>
        </w:tc>
        <w:tc>
          <w:tcPr>
            <w:tcW w:type="dxa" w:w="4873"/>
            <w:vAlign w:val="center"/>
          </w:tcPr>
          <w:p>
            <w:r>
              <w:rPr>
                <w:rFonts w:ascii="Calibri" w:hAnsi="Calibri"/>
                <w:b w:val="0"/>
                <w:i w:val="0"/>
                <w:color w:val="20252B"/>
                <w:sz w:val="20"/>
              </w:rPr>
              <w:t>IBlog - Plateforme web communautaire de blogging</w:t>
            </w:r>
          </w:p>
        </w:tc>
      </w:tr>
      <w:tr>
        <w:tc>
          <w:tcPr>
            <w:tcW w:type="dxa" w:w="4873"/>
            <w:shd w:fill="E4EFF3"/>
            <w:vAlign w:val="center"/>
          </w:tcPr>
          <w:p>
            <w:r>
              <w:rPr>
                <w:rFonts w:ascii="Calibri" w:hAnsi="Calibri"/>
                <w:b/>
                <w:i w:val="0"/>
                <w:color w:val="214E60"/>
                <w:sz w:val="20"/>
              </w:rPr>
              <w:t>Date du document</w:t>
            </w:r>
          </w:p>
        </w:tc>
        <w:tc>
          <w:tcPr>
            <w:tcW w:type="dxa" w:w="4873"/>
            <w:vAlign w:val="center"/>
          </w:tcPr>
          <w:p>
            <w:r>
              <w:rPr>
                <w:rFonts w:ascii="Calibri" w:hAnsi="Calibri"/>
                <w:b w:val="0"/>
                <w:i w:val="0"/>
                <w:color w:val="20252B"/>
                <w:sz w:val="20"/>
              </w:rPr>
              <w:t>3 mai 2026</w:t>
            </w:r>
          </w:p>
        </w:tc>
      </w:tr>
      <w:tr>
        <w:tc>
          <w:tcPr>
            <w:tcW w:type="dxa" w:w="4873"/>
            <w:shd w:fill="E4EFF3"/>
            <w:vAlign w:val="center"/>
          </w:tcPr>
          <w:p>
            <w:r>
              <w:rPr>
                <w:rFonts w:ascii="Calibri" w:hAnsi="Calibri"/>
                <w:b/>
                <w:i w:val="0"/>
                <w:color w:val="214E60"/>
                <w:sz w:val="20"/>
              </w:rPr>
              <w:t>Périmètre</w:t>
            </w:r>
          </w:p>
        </w:tc>
        <w:tc>
          <w:tcPr>
            <w:tcW w:type="dxa" w:w="4873"/>
            <w:vAlign w:val="center"/>
          </w:tcPr>
          <w:p>
            <w:r>
              <w:rPr>
                <w:rFonts w:ascii="Calibri" w:hAnsi="Calibri"/>
                <w:b w:val="0"/>
                <w:i w:val="0"/>
                <w:color w:val="20252B"/>
                <w:sz w:val="20"/>
              </w:rPr>
              <w:t>Validation fonctionnelle, intégration et cas limites</w:t>
            </w:r>
          </w:p>
        </w:tc>
      </w:tr>
      <w:tr>
        <w:tc>
          <w:tcPr>
            <w:tcW w:type="dxa" w:w="4873"/>
            <w:shd w:fill="E4EFF3"/>
            <w:vAlign w:val="center"/>
          </w:tcPr>
          <w:p>
            <w:r>
              <w:rPr>
                <w:rFonts w:ascii="Calibri" w:hAnsi="Calibri"/>
                <w:b/>
                <w:i w:val="0"/>
                <w:color w:val="214E60"/>
                <w:sz w:val="20"/>
              </w:rPr>
              <w:t>Statut</w:t>
            </w:r>
          </w:p>
        </w:tc>
        <w:tc>
          <w:tcPr>
            <w:tcW w:type="dxa" w:w="4873"/>
            <w:vAlign w:val="center"/>
          </w:tcPr>
          <w:p>
            <w:r>
              <w:rPr>
                <w:rFonts w:ascii="Calibri" w:hAnsi="Calibri"/>
                <w:b w:val="0"/>
                <w:i w:val="0"/>
                <w:color w:val="20252B"/>
                <w:sz w:val="20"/>
              </w:rPr>
              <w:t>Version livrable</w:t>
            </w:r>
          </w:p>
        </w:tc>
      </w:tr>
      <w:tr>
        <w:tc>
          <w:tcPr>
            <w:tcW w:type="dxa" w:w="4873"/>
            <w:shd w:fill="E4EFF3"/>
            <w:vAlign w:val="center"/>
          </w:tcPr>
          <w:p>
            <w:r>
              <w:rPr>
                <w:rFonts w:ascii="Calibri" w:hAnsi="Calibri"/>
                <w:b/>
                <w:i w:val="0"/>
                <w:color w:val="214E60"/>
                <w:sz w:val="20"/>
              </w:rPr>
              <w:t>Note</w:t>
            </w:r>
          </w:p>
        </w:tc>
        <w:tc>
          <w:tcPr>
            <w:tcW w:type="dxa" w:w="4873"/>
            <w:vAlign w:val="center"/>
          </w:tcPr>
          <w:p>
            <w:r>
              <w:rPr>
                <w:rFonts w:ascii="Calibri" w:hAnsi="Calibri"/>
                <w:b w:val="0"/>
                <w:i w:val="0"/>
                <w:color w:val="20252B"/>
                <w:sz w:val="20"/>
              </w:rPr>
              <w:t>Sécurité et performance traitées séparément par l'équipe</w:t>
            </w:r>
          </w:p>
        </w:tc>
      </w:tr>
    </w:tbl>
    <w:p/>
    <w:p>
      <w:pPr>
        <w:jc w:val="both"/>
      </w:pPr>
      <w:r>
        <w:rPr>
          <w:rFonts w:ascii="Calibri" w:hAnsi="Calibri"/>
          <w:b w:val="0"/>
          <w:i w:val="0"/>
          <w:color w:val="20252B"/>
          <w:sz w:val="22"/>
        </w:rPr>
        <w:t>Ce document est rédigé à partir du dépôt IBlog et des résultats de la suite de tests automatisés observables dans l'espace de travail.</w:t>
      </w:r>
    </w:p>
    <w:p>
      <w:pPr>
        <w:sectPr>
          <w:footerReference w:type="default" r:id="rId9"/>
          <w:pgSz w:w="12240" w:h="15840"/>
          <w:pgMar w:top="1247" w:right="1247" w:bottom="1134" w:left="1247" w:header="720" w:footer="720" w:gutter="0"/>
          <w:cols w:space="720"/>
          <w:docGrid w:linePitch="360"/>
        </w:sectPr>
      </w:pPr>
    </w:p>
    <w:p>
      <w:pPr>
        <w:pStyle w:val="Heading1"/>
        <w:spacing w:after="200"/>
      </w:pPr>
      <w:r>
        <w:t>Sommaire</w:t>
      </w:r>
    </w:p>
    <w:p>
      <w:pPr>
        <w:pStyle w:val="ListBullet"/>
        <w:spacing w:after="80"/>
      </w:pPr>
      <w:r>
        <w:rPr>
          <w:rFonts w:ascii="Calibri" w:hAnsi="Calibri"/>
          <w:b w:val="0"/>
          <w:i w:val="0"/>
          <w:color w:val="20252B"/>
          <w:sz w:val="22"/>
        </w:rPr>
        <w:t>1. Introduction</w:t>
      </w:r>
    </w:p>
    <w:p>
      <w:pPr>
        <w:pStyle w:val="ListBullet"/>
        <w:spacing w:after="80"/>
      </w:pPr>
      <w:r>
        <w:rPr>
          <w:rFonts w:ascii="Calibri" w:hAnsi="Calibri"/>
          <w:b w:val="0"/>
          <w:i w:val="0"/>
          <w:color w:val="20252B"/>
          <w:sz w:val="22"/>
        </w:rPr>
        <w:t>2. Rappel des objectifs et du périmètre</w:t>
      </w:r>
    </w:p>
    <w:p>
      <w:pPr>
        <w:pStyle w:val="ListBullet"/>
        <w:spacing w:after="80"/>
      </w:pPr>
      <w:r>
        <w:rPr>
          <w:rFonts w:ascii="Calibri" w:hAnsi="Calibri"/>
          <w:b w:val="0"/>
          <w:i w:val="0"/>
          <w:color w:val="20252B"/>
          <w:sz w:val="22"/>
        </w:rPr>
        <w:t>3. Méthodologie d'exécution</w:t>
      </w:r>
    </w:p>
    <w:p>
      <w:pPr>
        <w:pStyle w:val="ListBullet"/>
        <w:spacing w:after="80"/>
      </w:pPr>
      <w:r>
        <w:rPr>
          <w:rFonts w:ascii="Calibri" w:hAnsi="Calibri"/>
          <w:b w:val="0"/>
          <w:i w:val="0"/>
          <w:color w:val="20252B"/>
          <w:sz w:val="22"/>
        </w:rPr>
        <w:t>4. Exécution des tests et résultats</w:t>
      </w:r>
    </w:p>
    <w:p>
      <w:pPr>
        <w:pStyle w:val="ListBullet"/>
        <w:spacing w:after="80"/>
      </w:pPr>
      <w:r>
        <w:rPr>
          <w:rFonts w:ascii="Calibri" w:hAnsi="Calibri"/>
          <w:b w:val="0"/>
          <w:i w:val="0"/>
          <w:color w:val="20252B"/>
          <w:sz w:val="22"/>
        </w:rPr>
        <w:t>5. Synthèse et recommandations</w:t>
      </w:r>
    </w:p>
    <w:p>
      <w:pPr>
        <w:pStyle w:val="ListBullet"/>
        <w:spacing w:after="80"/>
      </w:pPr>
      <w:r>
        <w:rPr>
          <w:rFonts w:ascii="Calibri" w:hAnsi="Calibri"/>
          <w:b w:val="0"/>
          <w:i w:val="0"/>
          <w:color w:val="20252B"/>
          <w:sz w:val="22"/>
        </w:rPr>
        <w:t>Annexe A. Commandes et chiffres clés</w:t>
      </w:r>
    </w:p>
    <w:p>
      <w:pPr>
        <w:pStyle w:val="Heading1"/>
        <w:spacing w:before="200" w:after="100"/>
      </w:pPr>
      <w:r>
        <w:t>1. Introduction</w:t>
      </w:r>
    </w:p>
    <w:p>
      <w:pPr>
        <w:spacing w:after="120"/>
        <w:jc w:val="both"/>
      </w:pPr>
      <w:r>
        <w:rPr>
          <w:rFonts w:ascii="Calibri" w:hAnsi="Calibri"/>
          <w:b w:val="0"/>
          <w:i w:val="0"/>
          <w:color w:val="20252B"/>
          <w:sz w:val="22"/>
        </w:rPr>
        <w:t>Ce rapport présente les résultats observés lors de l'exécution effective de la suite de tests automatisés du projet IBlog. Il s'appuie sur les fichiers du dépôt, sur la configuration active de PHPUnit et sur une exécution confirmée localement le 3 mai 2026.</w:t>
      </w:r>
    </w:p>
    <w:p>
      <w:pPr>
        <w:spacing w:after="120"/>
        <w:jc w:val="both"/>
      </w:pPr>
      <w:r>
        <w:rPr>
          <w:rFonts w:ascii="Calibri" w:hAnsi="Calibri"/>
          <w:b w:val="0"/>
          <w:i w:val="0"/>
          <w:color w:val="20252B"/>
          <w:sz w:val="22"/>
        </w:rPr>
        <w:t>Le présent travail couvre la validation fonctionnelle, l'intégration et les cas limites automatisés. Les tests de sécurité offensive et de performance sont hors du périmètre de ce document et seront traités par d'autres membres de l'équipe.</w:t>
      </w:r>
    </w:p>
    <w:p>
      <w:pPr>
        <w:pStyle w:val="Heading1"/>
        <w:spacing w:before="200" w:after="100"/>
      </w:pPr>
      <w:r>
        <w:t>2. Rappel des objectifs et du périmètre</w:t>
      </w:r>
    </w:p>
    <w:p>
      <w:pPr>
        <w:pStyle w:val="ListBullet"/>
        <w:spacing w:after="60"/>
      </w:pPr>
      <w:r>
        <w:rPr>
          <w:rFonts w:ascii="Calibri" w:hAnsi="Calibri"/>
          <w:b w:val="0"/>
          <w:i w:val="0"/>
          <w:color w:val="20252B"/>
          <w:sz w:val="22"/>
        </w:rPr>
        <w:t>Valider les flux critiques d'authentification, d'administration et de gestion de session.</w:t>
      </w:r>
    </w:p>
    <w:p>
      <w:pPr>
        <w:pStyle w:val="ListBullet"/>
        <w:spacing w:after="60"/>
      </w:pPr>
      <w:r>
        <w:rPr>
          <w:rFonts w:ascii="Calibri" w:hAnsi="Calibri"/>
          <w:b w:val="0"/>
          <w:i w:val="0"/>
          <w:color w:val="20252B"/>
          <w:sz w:val="22"/>
        </w:rPr>
        <w:t>Confirmer les opérations de publication, modification, suppression logique et interaction sur les articles.</w:t>
      </w:r>
    </w:p>
    <w:p>
      <w:pPr>
        <w:pStyle w:val="ListBullet"/>
        <w:spacing w:after="60"/>
      </w:pPr>
      <w:r>
        <w:rPr>
          <w:rFonts w:ascii="Calibri" w:hAnsi="Calibri"/>
          <w:b w:val="0"/>
          <w:i w:val="0"/>
          <w:color w:val="20252B"/>
          <w:sz w:val="22"/>
        </w:rPr>
        <w:t>Vérifier la recherche, la pagination, les communautés et les règles d'accès premium.</w:t>
      </w:r>
    </w:p>
    <w:p>
      <w:pPr>
        <w:pStyle w:val="ListBullet"/>
        <w:spacing w:after="60"/>
      </w:pPr>
      <w:r>
        <w:rPr>
          <w:rFonts w:ascii="Calibri" w:hAnsi="Calibri"/>
          <w:b w:val="0"/>
          <w:i w:val="0"/>
          <w:color w:val="20252B"/>
          <w:sz w:val="22"/>
        </w:rPr>
        <w:t>Contrôler la robustesse des API face aux méthodes interdites et aux données invalides.</w:t>
      </w:r>
    </w:p>
    <w:p>
      <w:pPr>
        <w:pStyle w:val="Heading1"/>
        <w:spacing w:before="200" w:after="100"/>
      </w:pPr>
      <w:r>
        <w:t>3. Méthodologie d'exécution</w:t>
      </w:r>
    </w:p>
    <w:p>
      <w:pPr>
        <w:pStyle w:val="Heading2"/>
        <w:spacing w:before="200" w:after="100"/>
      </w:pPr>
      <w:r>
        <w:t>3.1 Outils utilisés</w:t>
      </w:r>
    </w:p>
    <w:p>
      <w:pPr>
        <w:pStyle w:val="ListBullet"/>
        <w:spacing w:after="60"/>
      </w:pPr>
      <w:r>
        <w:rPr>
          <w:rFonts w:ascii="Calibri" w:hAnsi="Calibri"/>
          <w:b w:val="0"/>
          <w:i w:val="0"/>
          <w:color w:val="20252B"/>
          <w:sz w:val="22"/>
        </w:rPr>
        <w:t>PHPUnit 11.5.55 pour l'automatisation de la campagne.</w:t>
      </w:r>
    </w:p>
    <w:p>
      <w:pPr>
        <w:pStyle w:val="ListBullet"/>
        <w:spacing w:after="60"/>
      </w:pPr>
      <w:r>
        <w:rPr>
          <w:rFonts w:ascii="Calibri" w:hAnsi="Calibri"/>
          <w:b w:val="0"/>
          <w:i w:val="0"/>
          <w:color w:val="20252B"/>
          <w:sz w:val="22"/>
        </w:rPr>
        <w:t>PHP 8.2.12 comme runtime d'exécution.</w:t>
      </w:r>
    </w:p>
    <w:p>
      <w:pPr>
        <w:pStyle w:val="ListBullet"/>
        <w:spacing w:after="60"/>
      </w:pPr>
      <w:r>
        <w:rPr>
          <w:rFonts w:ascii="Calibri" w:hAnsi="Calibri"/>
          <w:b w:val="0"/>
          <w:i w:val="0"/>
          <w:color w:val="20252B"/>
          <w:sz w:val="22"/>
        </w:rPr>
        <w:t>XAMPP et MySQL/phpMyAdmin comme environnement local de référence.</w:t>
      </w:r>
    </w:p>
    <w:p>
      <w:pPr>
        <w:pStyle w:val="ListBullet"/>
        <w:spacing w:after="60"/>
      </w:pPr>
      <w:r>
        <w:rPr>
          <w:rFonts w:ascii="Calibri" w:hAnsi="Calibri"/>
          <w:b w:val="0"/>
          <w:i w:val="0"/>
          <w:color w:val="20252B"/>
          <w:sz w:val="22"/>
        </w:rPr>
        <w:t>Analyse du dépôt et des fichiers de tests pour relier chaque suite à son périmètre réel.</w:t>
      </w:r>
    </w:p>
    <w:p>
      <w:pPr>
        <w:pStyle w:val="Heading2"/>
        <w:spacing w:before="200" w:after="100"/>
      </w:pPr>
      <w:r>
        <w:t>3.2 Environnement de test</w:t>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D9EAF0"/>
          </w:tcPr>
          <w:p>
            <w:r>
              <w:rPr>
                <w:rFonts w:ascii="Calibri" w:hAnsi="Calibri"/>
                <w:b/>
                <w:i w:val="0"/>
                <w:color w:val="214E60"/>
                <w:sz w:val="20"/>
              </w:rPr>
              <w:t>Paramètre</w:t>
            </w:r>
          </w:p>
        </w:tc>
        <w:tc>
          <w:tcPr>
            <w:tcW w:type="dxa" w:w="4873"/>
            <w:vAlign w:val="center"/>
            <w:shd w:fill="D9EAF0"/>
          </w:tcPr>
          <w:p>
            <w:r>
              <w:rPr>
                <w:rFonts w:ascii="Calibri" w:hAnsi="Calibri"/>
                <w:b/>
                <w:i w:val="0"/>
                <w:color w:val="214E60"/>
                <w:sz w:val="20"/>
              </w:rPr>
              <w:t>Valeur</w:t>
            </w:r>
          </w:p>
        </w:tc>
      </w:tr>
      <w:tr>
        <w:tc>
          <w:tcPr>
            <w:tcW w:type="dxa" w:w="4873"/>
            <w:vAlign w:val="center"/>
          </w:tcPr>
          <w:p>
            <w:r>
              <w:rPr>
                <w:rFonts w:ascii="Calibri" w:hAnsi="Calibri"/>
                <w:b w:val="0"/>
                <w:i w:val="0"/>
                <w:color w:val="20252B"/>
                <w:sz w:val="20"/>
              </w:rPr>
              <w:t>Machine d'exécution</w:t>
            </w:r>
          </w:p>
        </w:tc>
        <w:tc>
          <w:tcPr>
            <w:tcW w:type="dxa" w:w="4873"/>
            <w:vAlign w:val="center"/>
          </w:tcPr>
          <w:p>
            <w:r>
              <w:rPr>
                <w:rFonts w:ascii="Calibri" w:hAnsi="Calibri"/>
                <w:b w:val="0"/>
                <w:i w:val="0"/>
                <w:color w:val="20252B"/>
                <w:sz w:val="20"/>
              </w:rPr>
              <w:t>Poste local de développement</w:t>
            </w:r>
          </w:p>
        </w:tc>
      </w:tr>
      <w:tr>
        <w:tc>
          <w:tcPr>
            <w:tcW w:type="dxa" w:w="4873"/>
            <w:vAlign w:val="center"/>
          </w:tcPr>
          <w:p>
            <w:r>
              <w:rPr>
                <w:rFonts w:ascii="Calibri" w:hAnsi="Calibri"/>
                <w:b w:val="0"/>
                <w:i w:val="0"/>
                <w:color w:val="20252B"/>
                <w:sz w:val="20"/>
              </w:rPr>
              <w:t>Date d'exécution confirmée</w:t>
            </w:r>
          </w:p>
        </w:tc>
        <w:tc>
          <w:tcPr>
            <w:tcW w:type="dxa" w:w="4873"/>
            <w:vAlign w:val="center"/>
          </w:tcPr>
          <w:p>
            <w:r>
              <w:rPr>
                <w:rFonts w:ascii="Calibri" w:hAnsi="Calibri"/>
                <w:b w:val="0"/>
                <w:i w:val="0"/>
                <w:color w:val="20252B"/>
                <w:sz w:val="20"/>
              </w:rPr>
              <w:t>3 mai 2026</w:t>
            </w:r>
          </w:p>
        </w:tc>
      </w:tr>
      <w:tr>
        <w:tc>
          <w:tcPr>
            <w:tcW w:type="dxa" w:w="4873"/>
            <w:vAlign w:val="center"/>
          </w:tcPr>
          <w:p>
            <w:r>
              <w:rPr>
                <w:rFonts w:ascii="Calibri" w:hAnsi="Calibri"/>
                <w:b w:val="0"/>
                <w:i w:val="0"/>
                <w:color w:val="20252B"/>
                <w:sz w:val="20"/>
              </w:rPr>
              <w:t>Configuration active</w:t>
            </w:r>
          </w:p>
        </w:tc>
        <w:tc>
          <w:tcPr>
            <w:tcW w:type="dxa" w:w="4873"/>
            <w:vAlign w:val="center"/>
          </w:tcPr>
          <w:p>
            <w:r>
              <w:rPr>
                <w:rFonts w:ascii="Calibri" w:hAnsi="Calibri"/>
                <w:b w:val="0"/>
                <w:i w:val="0"/>
                <w:color w:val="20252B"/>
                <w:sz w:val="20"/>
              </w:rPr>
              <w:t>phpunit.xml à la racine du dépôt</w:t>
            </w:r>
          </w:p>
        </w:tc>
      </w:tr>
      <w:tr>
        <w:tc>
          <w:tcPr>
            <w:tcW w:type="dxa" w:w="4873"/>
            <w:vAlign w:val="center"/>
          </w:tcPr>
          <w:p>
            <w:r>
              <w:rPr>
                <w:rFonts w:ascii="Calibri" w:hAnsi="Calibri"/>
                <w:b w:val="0"/>
                <w:i w:val="0"/>
                <w:color w:val="20252B"/>
                <w:sz w:val="20"/>
              </w:rPr>
              <w:t>Suites actives</w:t>
            </w:r>
          </w:p>
        </w:tc>
        <w:tc>
          <w:tcPr>
            <w:tcW w:type="dxa" w:w="4873"/>
            <w:vAlign w:val="center"/>
          </w:tcPr>
          <w:p>
            <w:r>
              <w:rPr>
                <w:rFonts w:ascii="Calibri" w:hAnsi="Calibri"/>
                <w:b w:val="0"/>
                <w:i w:val="0"/>
                <w:color w:val="20252B"/>
                <w:sz w:val="20"/>
              </w:rPr>
              <w:t>Unit, Integration, Advanced</w:t>
            </w:r>
          </w:p>
        </w:tc>
      </w:tr>
      <w:tr>
        <w:tc>
          <w:tcPr>
            <w:tcW w:type="dxa" w:w="4873"/>
            <w:vAlign w:val="center"/>
          </w:tcPr>
          <w:p>
            <w:r>
              <w:rPr>
                <w:rFonts w:ascii="Calibri" w:hAnsi="Calibri"/>
                <w:b w:val="0"/>
                <w:i w:val="0"/>
                <w:color w:val="20252B"/>
                <w:sz w:val="20"/>
              </w:rPr>
              <w:t>Suites non actives</w:t>
            </w:r>
          </w:p>
        </w:tc>
        <w:tc>
          <w:tcPr>
            <w:tcW w:type="dxa" w:w="4873"/>
            <w:vAlign w:val="center"/>
          </w:tcPr>
          <w:p>
            <w:r>
              <w:rPr>
                <w:rFonts w:ascii="Calibri" w:hAnsi="Calibri"/>
                <w:b w:val="0"/>
                <w:i w:val="0"/>
                <w:color w:val="20252B"/>
                <w:sz w:val="20"/>
              </w:rPr>
              <w:t>Aucune suite Performance active dans la configuration courante</w:t>
            </w:r>
          </w:p>
        </w:tc>
      </w:tr>
    </w:tbl>
    <w:p/>
    <w:p>
      <w:pPr>
        <w:pStyle w:val="Heading2"/>
        <w:spacing w:before="200" w:after="100"/>
      </w:pPr>
      <w:r>
        <w:t>3.3 Données de test</w:t>
      </w:r>
    </w:p>
    <w:p>
      <w:pPr>
        <w:spacing w:after="120"/>
        <w:jc w:val="both"/>
      </w:pPr>
      <w:r>
        <w:rPr>
          <w:rFonts w:ascii="Calibri" w:hAnsi="Calibri"/>
          <w:b w:val="0"/>
          <w:i w:val="0"/>
          <w:color w:val="20252B"/>
          <w:sz w:val="22"/>
        </w:rPr>
        <w:t>Les jeux d'essai couvrent plusieurs profils utilisateurs, des articles publiés et brouillons, des communautés existantes, des identifiants invalides, des tokens de réinitialisation et diverses charges utiles JSON destinées à éprouver les API.</w:t>
      </w:r>
    </w:p>
    <w:p>
      <w:pPr>
        <w:pStyle w:val="Heading2"/>
        <w:spacing w:before="200" w:after="100"/>
      </w:pPr>
      <w:r>
        <w:t>3.4 Méthode</w:t>
      </w:r>
    </w:p>
    <w:p>
      <w:pPr>
        <w:pStyle w:val="ListNumber"/>
        <w:spacing w:after="60"/>
      </w:pPr>
      <w:r>
        <w:rPr>
          <w:rFonts w:ascii="Calibri" w:hAnsi="Calibri"/>
          <w:b w:val="0"/>
          <w:i w:val="0"/>
          <w:color w:val="20252B"/>
          <w:sz w:val="22"/>
        </w:rPr>
        <w:t>Exécution de la suite complète via la commande vendor\bin\phpunit.bat.</w:t>
      </w:r>
    </w:p>
    <w:p>
      <w:pPr>
        <w:pStyle w:val="ListNumber"/>
        <w:spacing w:after="60"/>
      </w:pPr>
      <w:r>
        <w:rPr>
          <w:rFonts w:ascii="Calibri" w:hAnsi="Calibri"/>
          <w:b w:val="0"/>
          <w:i w:val="0"/>
          <w:color w:val="20252B"/>
          <w:sz w:val="22"/>
        </w:rPr>
        <w:t>Exécution complémentaire des suites Unit, Integration et Advanced séparément pour isoler les statistiques.</w:t>
      </w:r>
    </w:p>
    <w:p>
      <w:pPr>
        <w:pStyle w:val="ListNumber"/>
        <w:spacing w:after="60"/>
      </w:pPr>
      <w:r>
        <w:rPr>
          <w:rFonts w:ascii="Calibri" w:hAnsi="Calibri"/>
          <w:b w:val="0"/>
          <w:i w:val="0"/>
          <w:color w:val="20252B"/>
          <w:sz w:val="22"/>
        </w:rPr>
        <w:t>Consolidation des résultats et traduction en lecture académique structurée.</w:t>
      </w:r>
    </w:p>
    <w:p>
      <w:pPr>
        <w:pStyle w:val="Heading1"/>
        <w:spacing w:before="200" w:after="100"/>
      </w:pPr>
      <w:r>
        <w:t>4. Exécution des tests et résultats</w:t>
      </w:r>
    </w:p>
    <w:p>
      <w:pPr>
        <w:pStyle w:val="Heading2"/>
        <w:spacing w:before="200" w:after="100"/>
      </w:pPr>
      <w:r>
        <w:t>4.1 Synthèse globale</w:t>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D9EAF0"/>
          </w:tcPr>
          <w:p>
            <w:r>
              <w:rPr>
                <w:rFonts w:ascii="Calibri" w:hAnsi="Calibri"/>
                <w:b/>
                <w:i w:val="0"/>
                <w:color w:val="214E60"/>
                <w:sz w:val="20"/>
              </w:rPr>
              <w:t>Indicateur</w:t>
            </w:r>
          </w:p>
        </w:tc>
        <w:tc>
          <w:tcPr>
            <w:tcW w:type="dxa" w:w="4873"/>
            <w:vAlign w:val="center"/>
            <w:shd w:fill="D9EAF0"/>
          </w:tcPr>
          <w:p>
            <w:r>
              <w:rPr>
                <w:rFonts w:ascii="Calibri" w:hAnsi="Calibri"/>
                <w:b/>
                <w:i w:val="0"/>
                <w:color w:val="214E60"/>
                <w:sz w:val="20"/>
              </w:rPr>
              <w:t>Valeur observée</w:t>
            </w:r>
          </w:p>
        </w:tc>
      </w:tr>
      <w:tr>
        <w:tc>
          <w:tcPr>
            <w:tcW w:type="dxa" w:w="4873"/>
            <w:vAlign w:val="center"/>
          </w:tcPr>
          <w:p>
            <w:r>
              <w:rPr>
                <w:rFonts w:ascii="Calibri" w:hAnsi="Calibri"/>
                <w:b w:val="0"/>
                <w:i w:val="0"/>
                <w:color w:val="20252B"/>
                <w:sz w:val="20"/>
              </w:rPr>
              <w:t>Statut global</w:t>
            </w:r>
          </w:p>
        </w:tc>
        <w:tc>
          <w:tcPr>
            <w:tcW w:type="dxa" w:w="4873"/>
            <w:vAlign w:val="center"/>
          </w:tcPr>
          <w:p>
            <w:r>
              <w:rPr>
                <w:rFonts w:ascii="Calibri" w:hAnsi="Calibri"/>
                <w:b w:val="0"/>
                <w:i w:val="0"/>
                <w:color w:val="20252B"/>
                <w:sz w:val="20"/>
              </w:rPr>
              <w:t>Réussi</w:t>
            </w:r>
          </w:p>
        </w:tc>
      </w:tr>
      <w:tr>
        <w:tc>
          <w:tcPr>
            <w:tcW w:type="dxa" w:w="4873"/>
            <w:vAlign w:val="center"/>
          </w:tcPr>
          <w:p>
            <w:r>
              <w:rPr>
                <w:rFonts w:ascii="Calibri" w:hAnsi="Calibri"/>
                <w:b w:val="0"/>
                <w:i w:val="0"/>
                <w:color w:val="20252B"/>
                <w:sz w:val="20"/>
              </w:rPr>
              <w:t>Total des tests</w:t>
            </w:r>
          </w:p>
        </w:tc>
        <w:tc>
          <w:tcPr>
            <w:tcW w:type="dxa" w:w="4873"/>
            <w:vAlign w:val="center"/>
          </w:tcPr>
          <w:p>
            <w:r>
              <w:rPr>
                <w:rFonts w:ascii="Calibri" w:hAnsi="Calibri"/>
                <w:b w:val="0"/>
                <w:i w:val="0"/>
                <w:color w:val="20252B"/>
                <w:sz w:val="20"/>
              </w:rPr>
              <w:t>84</w:t>
            </w:r>
          </w:p>
        </w:tc>
      </w:tr>
      <w:tr>
        <w:tc>
          <w:tcPr>
            <w:tcW w:type="dxa" w:w="4873"/>
            <w:vAlign w:val="center"/>
          </w:tcPr>
          <w:p>
            <w:r>
              <w:rPr>
                <w:rFonts w:ascii="Calibri" w:hAnsi="Calibri"/>
                <w:b w:val="0"/>
                <w:i w:val="0"/>
                <w:color w:val="20252B"/>
                <w:sz w:val="20"/>
              </w:rPr>
              <w:t>Total des assertions</w:t>
            </w:r>
          </w:p>
        </w:tc>
        <w:tc>
          <w:tcPr>
            <w:tcW w:type="dxa" w:w="4873"/>
            <w:vAlign w:val="center"/>
          </w:tcPr>
          <w:p>
            <w:r>
              <w:rPr>
                <w:rFonts w:ascii="Calibri" w:hAnsi="Calibri"/>
                <w:b w:val="0"/>
                <w:i w:val="0"/>
                <w:color w:val="20252B"/>
                <w:sz w:val="20"/>
              </w:rPr>
              <w:t>471</w:t>
            </w:r>
          </w:p>
        </w:tc>
      </w:tr>
      <w:tr>
        <w:tc>
          <w:tcPr>
            <w:tcW w:type="dxa" w:w="4873"/>
            <w:vAlign w:val="center"/>
          </w:tcPr>
          <w:p>
            <w:r>
              <w:rPr>
                <w:rFonts w:ascii="Calibri" w:hAnsi="Calibri"/>
                <w:b w:val="0"/>
                <w:i w:val="0"/>
                <w:color w:val="20252B"/>
                <w:sz w:val="20"/>
              </w:rPr>
              <w:t>Échecs</w:t>
            </w:r>
          </w:p>
        </w:tc>
        <w:tc>
          <w:tcPr>
            <w:tcW w:type="dxa" w:w="4873"/>
            <w:vAlign w:val="center"/>
          </w:tcPr>
          <w:p>
            <w:r>
              <w:rPr>
                <w:rFonts w:ascii="Calibri" w:hAnsi="Calibri"/>
                <w:b w:val="0"/>
                <w:i w:val="0"/>
                <w:color w:val="20252B"/>
                <w:sz w:val="20"/>
              </w:rPr>
              <w:t>0</w:t>
            </w:r>
          </w:p>
        </w:tc>
      </w:tr>
      <w:tr>
        <w:tc>
          <w:tcPr>
            <w:tcW w:type="dxa" w:w="4873"/>
            <w:vAlign w:val="center"/>
          </w:tcPr>
          <w:p>
            <w:r>
              <w:rPr>
                <w:rFonts w:ascii="Calibri" w:hAnsi="Calibri"/>
                <w:b w:val="0"/>
                <w:i w:val="0"/>
                <w:color w:val="20252B"/>
                <w:sz w:val="20"/>
              </w:rPr>
              <w:t>Erreurs</w:t>
            </w:r>
          </w:p>
        </w:tc>
        <w:tc>
          <w:tcPr>
            <w:tcW w:type="dxa" w:w="4873"/>
            <w:vAlign w:val="center"/>
          </w:tcPr>
          <w:p>
            <w:r>
              <w:rPr>
                <w:rFonts w:ascii="Calibri" w:hAnsi="Calibri"/>
                <w:b w:val="0"/>
                <w:i w:val="0"/>
                <w:color w:val="20252B"/>
                <w:sz w:val="20"/>
              </w:rPr>
              <w:t>0</w:t>
            </w:r>
          </w:p>
        </w:tc>
      </w:tr>
      <w:tr>
        <w:tc>
          <w:tcPr>
            <w:tcW w:type="dxa" w:w="4873"/>
            <w:vAlign w:val="center"/>
          </w:tcPr>
          <w:p>
            <w:r>
              <w:rPr>
                <w:rFonts w:ascii="Calibri" w:hAnsi="Calibri"/>
                <w:b w:val="0"/>
                <w:i w:val="0"/>
                <w:color w:val="20252B"/>
                <w:sz w:val="20"/>
              </w:rPr>
              <w:t>Date de confirmation</w:t>
            </w:r>
          </w:p>
        </w:tc>
        <w:tc>
          <w:tcPr>
            <w:tcW w:type="dxa" w:w="4873"/>
            <w:vAlign w:val="center"/>
          </w:tcPr>
          <w:p>
            <w:r>
              <w:rPr>
                <w:rFonts w:ascii="Calibri" w:hAnsi="Calibri"/>
                <w:b w:val="0"/>
                <w:i w:val="0"/>
                <w:color w:val="20252B"/>
                <w:sz w:val="20"/>
              </w:rPr>
              <w:t>3 mai 2026</w:t>
            </w:r>
          </w:p>
        </w:tc>
      </w:tr>
    </w:tbl>
    <w:p/>
    <w:p>
      <w:pPr>
        <w:spacing w:after="120"/>
        <w:jc w:val="both"/>
      </w:pPr>
      <w:r>
        <w:rPr>
          <w:rFonts w:ascii="Calibri" w:hAnsi="Calibri"/>
          <w:b w:val="0"/>
          <w:i w:val="0"/>
          <w:color w:val="20252B"/>
          <w:sz w:val="22"/>
        </w:rPr>
        <w:t>La campagne automatisée s'est terminée sans échec. Les résultats confirment la stabilité du périmètre backend validé par PHPUnit dans l'état actuel du dépôt.</w:t>
      </w:r>
    </w:p>
    <w:p>
      <w:pPr>
        <w:pStyle w:val="Heading2"/>
        <w:spacing w:before="200" w:after="100"/>
      </w:pPr>
      <w:r>
        <w:t>4.2 Résultats par suite</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vAlign w:val="center"/>
            <w:shd w:fill="D9EAF0"/>
          </w:tcPr>
          <w:p>
            <w:r>
              <w:rPr>
                <w:rFonts w:ascii="Calibri" w:hAnsi="Calibri"/>
                <w:b/>
                <w:i w:val="0"/>
                <w:color w:val="214E60"/>
                <w:sz w:val="20"/>
              </w:rPr>
              <w:t>Suite</w:t>
            </w:r>
          </w:p>
        </w:tc>
        <w:tc>
          <w:tcPr>
            <w:tcW w:type="dxa" w:w="1949"/>
            <w:vAlign w:val="center"/>
            <w:shd w:fill="D9EAF0"/>
          </w:tcPr>
          <w:p>
            <w:r>
              <w:rPr>
                <w:rFonts w:ascii="Calibri" w:hAnsi="Calibri"/>
                <w:b/>
                <w:i w:val="0"/>
                <w:color w:val="214E60"/>
                <w:sz w:val="20"/>
              </w:rPr>
              <w:t>Tests</w:t>
            </w:r>
          </w:p>
        </w:tc>
        <w:tc>
          <w:tcPr>
            <w:tcW w:type="dxa" w:w="1949"/>
            <w:vAlign w:val="center"/>
            <w:shd w:fill="D9EAF0"/>
          </w:tcPr>
          <w:p>
            <w:r>
              <w:rPr>
                <w:rFonts w:ascii="Calibri" w:hAnsi="Calibri"/>
                <w:b/>
                <w:i w:val="0"/>
                <w:color w:val="214E60"/>
                <w:sz w:val="20"/>
              </w:rPr>
              <w:t>Assertions</w:t>
            </w:r>
          </w:p>
        </w:tc>
        <w:tc>
          <w:tcPr>
            <w:tcW w:type="dxa" w:w="1949"/>
            <w:vAlign w:val="center"/>
            <w:shd w:fill="D9EAF0"/>
          </w:tcPr>
          <w:p>
            <w:r>
              <w:rPr>
                <w:rFonts w:ascii="Calibri" w:hAnsi="Calibri"/>
                <w:b/>
                <w:i w:val="0"/>
                <w:color w:val="214E60"/>
                <w:sz w:val="20"/>
              </w:rPr>
              <w:t>Lecture métier</w:t>
            </w:r>
          </w:p>
        </w:tc>
        <w:tc>
          <w:tcPr>
            <w:tcW w:type="dxa" w:w="1949"/>
            <w:vAlign w:val="center"/>
            <w:shd w:fill="D9EAF0"/>
          </w:tcPr>
          <w:p>
            <w:r>
              <w:rPr>
                <w:rFonts w:ascii="Calibri" w:hAnsi="Calibri"/>
                <w:b/>
                <w:i w:val="0"/>
                <w:color w:val="214E60"/>
                <w:sz w:val="20"/>
              </w:rPr>
              <w:t>Statut</w:t>
            </w:r>
          </w:p>
        </w:tc>
      </w:tr>
      <w:tr>
        <w:tc>
          <w:tcPr>
            <w:tcW w:type="dxa" w:w="1949"/>
            <w:vAlign w:val="center"/>
          </w:tcPr>
          <w:p>
            <w:r>
              <w:rPr>
                <w:rFonts w:ascii="Calibri" w:hAnsi="Calibri"/>
                <w:b w:val="0"/>
                <w:i w:val="0"/>
                <w:color w:val="20252B"/>
                <w:sz w:val="20"/>
              </w:rPr>
              <w:t>Unit</w:t>
            </w:r>
          </w:p>
        </w:tc>
        <w:tc>
          <w:tcPr>
            <w:tcW w:type="dxa" w:w="1949"/>
            <w:vAlign w:val="center"/>
          </w:tcPr>
          <w:p>
            <w:r>
              <w:rPr>
                <w:rFonts w:ascii="Calibri" w:hAnsi="Calibri"/>
                <w:b w:val="0"/>
                <w:i w:val="0"/>
                <w:color w:val="20252B"/>
                <w:sz w:val="20"/>
              </w:rPr>
              <w:t>13</w:t>
            </w:r>
          </w:p>
        </w:tc>
        <w:tc>
          <w:tcPr>
            <w:tcW w:type="dxa" w:w="1949"/>
            <w:vAlign w:val="center"/>
          </w:tcPr>
          <w:p>
            <w:r>
              <w:rPr>
                <w:rFonts w:ascii="Calibri" w:hAnsi="Calibri"/>
                <w:b w:val="0"/>
                <w:i w:val="0"/>
                <w:color w:val="20252B"/>
                <w:sz w:val="20"/>
              </w:rPr>
              <w:t>143</w:t>
            </w:r>
          </w:p>
        </w:tc>
        <w:tc>
          <w:tcPr>
            <w:tcW w:type="dxa" w:w="1949"/>
            <w:vAlign w:val="center"/>
          </w:tcPr>
          <w:p>
            <w:r>
              <w:rPr>
                <w:rFonts w:ascii="Calibri" w:hAnsi="Calibri"/>
                <w:b w:val="0"/>
                <w:i w:val="0"/>
                <w:color w:val="20252B"/>
                <w:sz w:val="20"/>
              </w:rPr>
              <w:t>Contrôleurs et repositories isolés</w:t>
            </w:r>
          </w:p>
        </w:tc>
        <w:tc>
          <w:tcPr>
            <w:tcW w:type="dxa" w:w="1949"/>
            <w:vAlign w:val="center"/>
          </w:tcPr>
          <w:p>
            <w:r>
              <w:rPr>
                <w:rFonts w:ascii="Calibri" w:hAnsi="Calibri"/>
                <w:b w:val="0"/>
                <w:i w:val="0"/>
                <w:color w:val="20252B"/>
                <w:sz w:val="20"/>
              </w:rPr>
              <w:t>Réussi</w:t>
            </w:r>
          </w:p>
        </w:tc>
      </w:tr>
      <w:tr>
        <w:tc>
          <w:tcPr>
            <w:tcW w:type="dxa" w:w="1949"/>
            <w:vAlign w:val="center"/>
          </w:tcPr>
          <w:p>
            <w:r>
              <w:rPr>
                <w:rFonts w:ascii="Calibri" w:hAnsi="Calibri"/>
                <w:b w:val="0"/>
                <w:i w:val="0"/>
                <w:color w:val="20252B"/>
                <w:sz w:val="20"/>
              </w:rPr>
              <w:t>Integration</w:t>
            </w:r>
          </w:p>
        </w:tc>
        <w:tc>
          <w:tcPr>
            <w:tcW w:type="dxa" w:w="1949"/>
            <w:vAlign w:val="center"/>
          </w:tcPr>
          <w:p>
            <w:r>
              <w:rPr>
                <w:rFonts w:ascii="Calibri" w:hAnsi="Calibri"/>
                <w:b w:val="0"/>
                <w:i w:val="0"/>
                <w:color w:val="20252B"/>
                <w:sz w:val="20"/>
              </w:rPr>
              <w:t>37</w:t>
            </w:r>
          </w:p>
        </w:tc>
        <w:tc>
          <w:tcPr>
            <w:tcW w:type="dxa" w:w="1949"/>
            <w:vAlign w:val="center"/>
          </w:tcPr>
          <w:p>
            <w:r>
              <w:rPr>
                <w:rFonts w:ascii="Calibri" w:hAnsi="Calibri"/>
                <w:b w:val="0"/>
                <w:i w:val="0"/>
                <w:color w:val="20252B"/>
                <w:sz w:val="20"/>
              </w:rPr>
              <w:t>180</w:t>
            </w:r>
          </w:p>
        </w:tc>
        <w:tc>
          <w:tcPr>
            <w:tcW w:type="dxa" w:w="1949"/>
            <w:vAlign w:val="center"/>
          </w:tcPr>
          <w:p>
            <w:r>
              <w:rPr>
                <w:rFonts w:ascii="Calibri" w:hAnsi="Calibri"/>
                <w:b w:val="0"/>
                <w:i w:val="0"/>
                <w:color w:val="20252B"/>
                <w:sz w:val="20"/>
              </w:rPr>
              <w:t>Flux complets API, session, base et sérialisation</w:t>
            </w:r>
          </w:p>
        </w:tc>
        <w:tc>
          <w:tcPr>
            <w:tcW w:type="dxa" w:w="1949"/>
            <w:vAlign w:val="center"/>
          </w:tcPr>
          <w:p>
            <w:r>
              <w:rPr>
                <w:rFonts w:ascii="Calibri" w:hAnsi="Calibri"/>
                <w:b w:val="0"/>
                <w:i w:val="0"/>
                <w:color w:val="20252B"/>
                <w:sz w:val="20"/>
              </w:rPr>
              <w:t>Réussi</w:t>
            </w:r>
          </w:p>
        </w:tc>
      </w:tr>
      <w:tr>
        <w:tc>
          <w:tcPr>
            <w:tcW w:type="dxa" w:w="1949"/>
            <w:vAlign w:val="center"/>
          </w:tcPr>
          <w:p>
            <w:r>
              <w:rPr>
                <w:rFonts w:ascii="Calibri" w:hAnsi="Calibri"/>
                <w:b w:val="0"/>
                <w:i w:val="0"/>
                <w:color w:val="20252B"/>
                <w:sz w:val="20"/>
              </w:rPr>
              <w:t>Advanced</w:t>
            </w:r>
          </w:p>
        </w:tc>
        <w:tc>
          <w:tcPr>
            <w:tcW w:type="dxa" w:w="1949"/>
            <w:vAlign w:val="center"/>
          </w:tcPr>
          <w:p>
            <w:r>
              <w:rPr>
                <w:rFonts w:ascii="Calibri" w:hAnsi="Calibri"/>
                <w:b w:val="0"/>
                <w:i w:val="0"/>
                <w:color w:val="20252B"/>
                <w:sz w:val="20"/>
              </w:rPr>
              <w:t>34</w:t>
            </w:r>
          </w:p>
        </w:tc>
        <w:tc>
          <w:tcPr>
            <w:tcW w:type="dxa" w:w="1949"/>
            <w:vAlign w:val="center"/>
          </w:tcPr>
          <w:p>
            <w:r>
              <w:rPr>
                <w:rFonts w:ascii="Calibri" w:hAnsi="Calibri"/>
                <w:b w:val="0"/>
                <w:i w:val="0"/>
                <w:color w:val="20252B"/>
                <w:sz w:val="20"/>
              </w:rPr>
              <w:t>148</w:t>
            </w:r>
          </w:p>
        </w:tc>
        <w:tc>
          <w:tcPr>
            <w:tcW w:type="dxa" w:w="1949"/>
            <w:vAlign w:val="center"/>
          </w:tcPr>
          <w:p>
            <w:r>
              <w:rPr>
                <w:rFonts w:ascii="Calibri" w:hAnsi="Calibri"/>
                <w:b w:val="0"/>
                <w:i w:val="0"/>
                <w:color w:val="20252B"/>
                <w:sz w:val="20"/>
              </w:rPr>
              <w:t>Cas limites, méthodes invalides et régressions</w:t>
            </w:r>
          </w:p>
        </w:tc>
        <w:tc>
          <w:tcPr>
            <w:tcW w:type="dxa" w:w="1949"/>
            <w:vAlign w:val="center"/>
          </w:tcPr>
          <w:p>
            <w:r>
              <w:rPr>
                <w:rFonts w:ascii="Calibri" w:hAnsi="Calibri"/>
                <w:b w:val="0"/>
                <w:i w:val="0"/>
                <w:color w:val="20252B"/>
                <w:sz w:val="20"/>
              </w:rPr>
              <w:t>Réussi</w:t>
            </w:r>
          </w:p>
        </w:tc>
      </w:tr>
    </w:tbl>
    <w:p/>
    <w:p>
      <w:pPr>
        <w:pStyle w:val="Heading2"/>
        <w:spacing w:before="200" w:after="100"/>
      </w:pPr>
      <w:r>
        <w:t>4.3 Résultats fonctionnels majeurs</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D9EAF0"/>
          </w:tcPr>
          <w:p>
            <w:r>
              <w:rPr>
                <w:rFonts w:ascii="Calibri" w:hAnsi="Calibri"/>
                <w:b/>
                <w:i w:val="0"/>
                <w:color w:val="214E60"/>
                <w:sz w:val="20"/>
              </w:rPr>
              <w:t>Domaine</w:t>
            </w:r>
          </w:p>
        </w:tc>
        <w:tc>
          <w:tcPr>
            <w:tcW w:type="dxa" w:w="3249"/>
            <w:vAlign w:val="center"/>
            <w:shd w:fill="D9EAF0"/>
          </w:tcPr>
          <w:p>
            <w:r>
              <w:rPr>
                <w:rFonts w:ascii="Calibri" w:hAnsi="Calibri"/>
                <w:b/>
                <w:i w:val="0"/>
                <w:color w:val="214E60"/>
                <w:sz w:val="20"/>
              </w:rPr>
              <w:t>Scénarios couverts</w:t>
            </w:r>
          </w:p>
        </w:tc>
        <w:tc>
          <w:tcPr>
            <w:tcW w:type="dxa" w:w="3249"/>
            <w:vAlign w:val="center"/>
            <w:shd w:fill="D9EAF0"/>
          </w:tcPr>
          <w:p>
            <w:r>
              <w:rPr>
                <w:rFonts w:ascii="Calibri" w:hAnsi="Calibri"/>
                <w:b/>
                <w:i w:val="0"/>
                <w:color w:val="214E60"/>
                <w:sz w:val="20"/>
              </w:rPr>
              <w:t>Constat</w:t>
            </w:r>
          </w:p>
        </w:tc>
      </w:tr>
      <w:tr>
        <w:tc>
          <w:tcPr>
            <w:tcW w:type="dxa" w:w="3249"/>
            <w:vAlign w:val="center"/>
          </w:tcPr>
          <w:p>
            <w:r>
              <w:rPr>
                <w:rFonts w:ascii="Calibri" w:hAnsi="Calibri"/>
                <w:b w:val="0"/>
                <w:i w:val="0"/>
                <w:color w:val="20252B"/>
                <w:sz w:val="20"/>
              </w:rPr>
              <w:t>Authentification</w:t>
            </w:r>
          </w:p>
        </w:tc>
        <w:tc>
          <w:tcPr>
            <w:tcW w:type="dxa" w:w="3249"/>
            <w:vAlign w:val="center"/>
          </w:tcPr>
          <w:p>
            <w:r>
              <w:rPr>
                <w:rFonts w:ascii="Calibri" w:hAnsi="Calibri"/>
                <w:b w:val="0"/>
                <w:i w:val="0"/>
                <w:color w:val="20252B"/>
                <w:sz w:val="20"/>
              </w:rPr>
              <w:t>Inscription, connexion, doublon email, mot de passe faible, reset valide/expiré</w:t>
            </w:r>
          </w:p>
        </w:tc>
        <w:tc>
          <w:tcPr>
            <w:tcW w:type="dxa" w:w="3249"/>
            <w:vAlign w:val="center"/>
          </w:tcPr>
          <w:p>
            <w:r>
              <w:rPr>
                <w:rFonts w:ascii="Calibri" w:hAnsi="Calibri"/>
                <w:b w:val="0"/>
                <w:i w:val="0"/>
                <w:color w:val="20252B"/>
                <w:sz w:val="20"/>
              </w:rPr>
              <w:t>Comportements conformes</w:t>
            </w:r>
          </w:p>
        </w:tc>
      </w:tr>
      <w:tr>
        <w:tc>
          <w:tcPr>
            <w:tcW w:type="dxa" w:w="3249"/>
            <w:vAlign w:val="center"/>
          </w:tcPr>
          <w:p>
            <w:r>
              <w:rPr>
                <w:rFonts w:ascii="Calibri" w:hAnsi="Calibri"/>
                <w:b w:val="0"/>
                <w:i w:val="0"/>
                <w:color w:val="20252B"/>
                <w:sz w:val="20"/>
              </w:rPr>
              <w:t>Administration</w:t>
            </w:r>
          </w:p>
        </w:tc>
        <w:tc>
          <w:tcPr>
            <w:tcW w:type="dxa" w:w="3249"/>
            <w:vAlign w:val="center"/>
          </w:tcPr>
          <w:p>
            <w:r>
              <w:rPr>
                <w:rFonts w:ascii="Calibri" w:hAnsi="Calibri"/>
                <w:b w:val="0"/>
                <w:i w:val="0"/>
                <w:color w:val="20252B"/>
                <w:sz w:val="20"/>
              </w:rPr>
              <w:t>Accès invité refusé, création et mise à jour d'utilisateurs, auto-suppression bloquée</w:t>
            </w:r>
          </w:p>
        </w:tc>
        <w:tc>
          <w:tcPr>
            <w:tcW w:type="dxa" w:w="3249"/>
            <w:vAlign w:val="center"/>
          </w:tcPr>
          <w:p>
            <w:r>
              <w:rPr>
                <w:rFonts w:ascii="Calibri" w:hAnsi="Calibri"/>
                <w:b w:val="0"/>
                <w:i w:val="0"/>
                <w:color w:val="20252B"/>
                <w:sz w:val="20"/>
              </w:rPr>
              <w:t>Conforme</w:t>
            </w:r>
          </w:p>
        </w:tc>
      </w:tr>
      <w:tr>
        <w:tc>
          <w:tcPr>
            <w:tcW w:type="dxa" w:w="3249"/>
            <w:vAlign w:val="center"/>
          </w:tcPr>
          <w:p>
            <w:r>
              <w:rPr>
                <w:rFonts w:ascii="Calibri" w:hAnsi="Calibri"/>
                <w:b w:val="0"/>
                <w:i w:val="0"/>
                <w:color w:val="20252B"/>
                <w:sz w:val="20"/>
              </w:rPr>
              <w:t>Articles</w:t>
            </w:r>
          </w:p>
        </w:tc>
        <w:tc>
          <w:tcPr>
            <w:tcW w:type="dxa" w:w="3249"/>
            <w:vAlign w:val="center"/>
          </w:tcPr>
          <w:p>
            <w:r>
              <w:rPr>
                <w:rFonts w:ascii="Calibri" w:hAnsi="Calibri"/>
                <w:b w:val="0"/>
                <w:i w:val="0"/>
                <w:color w:val="20252B"/>
                <w:sz w:val="20"/>
              </w:rPr>
              <w:t>Publication, brouillon, édition propriétaire, suppression logique, commentaires, likes, sauvegarde</w:t>
            </w:r>
          </w:p>
        </w:tc>
        <w:tc>
          <w:tcPr>
            <w:tcW w:type="dxa" w:w="3249"/>
            <w:vAlign w:val="center"/>
          </w:tcPr>
          <w:p>
            <w:r>
              <w:rPr>
                <w:rFonts w:ascii="Calibri" w:hAnsi="Calibri"/>
                <w:b w:val="0"/>
                <w:i w:val="0"/>
                <w:color w:val="20252B"/>
                <w:sz w:val="20"/>
              </w:rPr>
              <w:t>Conforme</w:t>
            </w:r>
          </w:p>
        </w:tc>
      </w:tr>
      <w:tr>
        <w:tc>
          <w:tcPr>
            <w:tcW w:type="dxa" w:w="3249"/>
            <w:vAlign w:val="center"/>
          </w:tcPr>
          <w:p>
            <w:r>
              <w:rPr>
                <w:rFonts w:ascii="Calibri" w:hAnsi="Calibri"/>
                <w:b w:val="0"/>
                <w:i w:val="0"/>
                <w:color w:val="20252B"/>
                <w:sz w:val="20"/>
              </w:rPr>
              <w:t>Recherche</w:t>
            </w:r>
          </w:p>
        </w:tc>
        <w:tc>
          <w:tcPr>
            <w:tcW w:type="dxa" w:w="3249"/>
            <w:vAlign w:val="center"/>
          </w:tcPr>
          <w:p>
            <w:r>
              <w:rPr>
                <w:rFonts w:ascii="Calibri" w:hAnsi="Calibri"/>
                <w:b w:val="0"/>
                <w:i w:val="0"/>
                <w:color w:val="20252B"/>
                <w:sz w:val="20"/>
              </w:rPr>
              <w:t>Recherche article, mode People, absence de résultats, caractères spéciaux</w:t>
            </w:r>
          </w:p>
        </w:tc>
        <w:tc>
          <w:tcPr>
            <w:tcW w:type="dxa" w:w="3249"/>
            <w:vAlign w:val="center"/>
          </w:tcPr>
          <w:p>
            <w:r>
              <w:rPr>
                <w:rFonts w:ascii="Calibri" w:hAnsi="Calibri"/>
                <w:b w:val="0"/>
                <w:i w:val="0"/>
                <w:color w:val="20252B"/>
                <w:sz w:val="20"/>
              </w:rPr>
              <w:t>Conforme</w:t>
            </w:r>
          </w:p>
        </w:tc>
      </w:tr>
      <w:tr>
        <w:tc>
          <w:tcPr>
            <w:tcW w:type="dxa" w:w="3249"/>
            <w:vAlign w:val="center"/>
          </w:tcPr>
          <w:p>
            <w:r>
              <w:rPr>
                <w:rFonts w:ascii="Calibri" w:hAnsi="Calibri"/>
                <w:b w:val="0"/>
                <w:i w:val="0"/>
                <w:color w:val="20252B"/>
                <w:sz w:val="20"/>
              </w:rPr>
              <w:t>Communautés</w:t>
            </w:r>
          </w:p>
        </w:tc>
        <w:tc>
          <w:tcPr>
            <w:tcW w:type="dxa" w:w="3249"/>
            <w:vAlign w:val="center"/>
          </w:tcPr>
          <w:p>
            <w:r>
              <w:rPr>
                <w:rFonts w:ascii="Calibri" w:hAnsi="Calibri"/>
                <w:b w:val="0"/>
                <w:i w:val="0"/>
                <w:color w:val="20252B"/>
                <w:sz w:val="20"/>
              </w:rPr>
              <w:t>Adhésion, non-duplication, accès aux threads, limitation premium</w:t>
            </w:r>
          </w:p>
        </w:tc>
        <w:tc>
          <w:tcPr>
            <w:tcW w:type="dxa" w:w="3249"/>
            <w:vAlign w:val="center"/>
          </w:tcPr>
          <w:p>
            <w:r>
              <w:rPr>
                <w:rFonts w:ascii="Calibri" w:hAnsi="Calibri"/>
                <w:b w:val="0"/>
                <w:i w:val="0"/>
                <w:color w:val="20252B"/>
                <w:sz w:val="20"/>
              </w:rPr>
              <w:t>Conforme</w:t>
            </w:r>
          </w:p>
        </w:tc>
      </w:tr>
      <w:tr>
        <w:tc>
          <w:tcPr>
            <w:tcW w:type="dxa" w:w="3249"/>
            <w:vAlign w:val="center"/>
          </w:tcPr>
          <w:p>
            <w:r>
              <w:rPr>
                <w:rFonts w:ascii="Calibri" w:hAnsi="Calibri"/>
                <w:b w:val="0"/>
                <w:i w:val="0"/>
                <w:color w:val="20252B"/>
                <w:sz w:val="20"/>
              </w:rPr>
              <w:t>Pagination</w:t>
            </w:r>
          </w:p>
        </w:tc>
        <w:tc>
          <w:tcPr>
            <w:tcW w:type="dxa" w:w="3249"/>
            <w:vAlign w:val="center"/>
          </w:tcPr>
          <w:p>
            <w:r>
              <w:rPr>
                <w:rFonts w:ascii="Calibri" w:hAnsi="Calibri"/>
                <w:b w:val="0"/>
                <w:i w:val="0"/>
                <w:color w:val="20252B"/>
                <w:sz w:val="20"/>
              </w:rPr>
              <w:t>Première page, dernière page partielle, taille variable, liste vide</w:t>
            </w:r>
          </w:p>
        </w:tc>
        <w:tc>
          <w:tcPr>
            <w:tcW w:type="dxa" w:w="3249"/>
            <w:vAlign w:val="center"/>
          </w:tcPr>
          <w:p>
            <w:r>
              <w:rPr>
                <w:rFonts w:ascii="Calibri" w:hAnsi="Calibri"/>
                <w:b w:val="0"/>
                <w:i w:val="0"/>
                <w:color w:val="20252B"/>
                <w:sz w:val="20"/>
              </w:rPr>
              <w:t>Conforme</w:t>
            </w:r>
          </w:p>
        </w:tc>
      </w:tr>
    </w:tbl>
    <w:p/>
    <w:p>
      <w:pPr>
        <w:pStyle w:val="Heading2"/>
        <w:spacing w:before="200" w:after="100"/>
      </w:pPr>
      <w:r>
        <w:t>4.4 Cas limites et robustesse</w:t>
      </w:r>
    </w:p>
    <w:p>
      <w:pPr>
        <w:pStyle w:val="ListBullet"/>
        <w:spacing w:after="60"/>
      </w:pPr>
      <w:r>
        <w:rPr>
          <w:rFonts w:ascii="Calibri" w:hAnsi="Calibri"/>
          <w:b w:val="0"/>
          <w:i w:val="0"/>
          <w:color w:val="20252B"/>
          <w:sz w:val="22"/>
        </w:rPr>
        <w:t>Les requêtes GET interdites sur certaines API sont correctement rejetées.</w:t>
      </w:r>
    </w:p>
    <w:p>
      <w:pPr>
        <w:pStyle w:val="ListBullet"/>
        <w:spacing w:after="60"/>
      </w:pPr>
      <w:r>
        <w:rPr>
          <w:rFonts w:ascii="Calibri" w:hAnsi="Calibri"/>
          <w:b w:val="0"/>
          <w:i w:val="0"/>
          <w:color w:val="20252B"/>
          <w:sz w:val="22"/>
        </w:rPr>
        <w:t>Les identifiants d'articles inconnus ou invalides ne provoquent pas de corruption de données.</w:t>
      </w:r>
    </w:p>
    <w:p>
      <w:pPr>
        <w:pStyle w:val="ListBullet"/>
        <w:spacing w:after="60"/>
      </w:pPr>
      <w:r>
        <w:rPr>
          <w:rFonts w:ascii="Calibri" w:hAnsi="Calibri"/>
          <w:b w:val="0"/>
          <w:i w:val="0"/>
          <w:color w:val="20252B"/>
          <w:sz w:val="22"/>
        </w:rPr>
        <w:t>Les charges utiles de couverture malformées sont refusées.</w:t>
      </w:r>
    </w:p>
    <w:p>
      <w:pPr>
        <w:pStyle w:val="ListBullet"/>
        <w:spacing w:after="60"/>
      </w:pPr>
      <w:r>
        <w:rPr>
          <w:rFonts w:ascii="Calibri" w:hAnsi="Calibri"/>
          <w:b w:val="0"/>
          <w:i w:val="0"/>
          <w:color w:val="20252B"/>
          <w:sz w:val="22"/>
        </w:rPr>
        <w:t>Les actions inconnues retournent une erreur explicite plutôt qu'un comportement silencieux.</w:t>
      </w:r>
    </w:p>
    <w:p>
      <w:pPr>
        <w:pStyle w:val="ListBullet"/>
        <w:spacing w:after="60"/>
      </w:pPr>
      <w:r>
        <w:rPr>
          <w:rFonts w:ascii="Calibri" w:hAnsi="Calibri"/>
          <w:b w:val="0"/>
          <w:i w:val="0"/>
          <w:color w:val="20252B"/>
          <w:sz w:val="22"/>
        </w:rPr>
        <w:t>La recherche continue à se comporter proprement avec des caractères spéciaux ou une base indisponible.</w:t>
      </w:r>
    </w:p>
    <w:p>
      <w:pPr>
        <w:pStyle w:val="Heading1"/>
        <w:spacing w:before="200" w:after="100"/>
      </w:pPr>
      <w:r>
        <w:t>5. Synthèse et recommandations</w:t>
      </w:r>
    </w:p>
    <w:p>
      <w:pPr>
        <w:pStyle w:val="Heading2"/>
        <w:spacing w:before="200" w:after="100"/>
      </w:pPr>
      <w:r>
        <w:t>5.1 Points forts</w:t>
      </w:r>
    </w:p>
    <w:p>
      <w:pPr>
        <w:pStyle w:val="ListBullet"/>
        <w:spacing w:after="60"/>
      </w:pPr>
      <w:r>
        <w:rPr>
          <w:rFonts w:ascii="Calibri" w:hAnsi="Calibri"/>
          <w:b w:val="0"/>
          <w:i w:val="0"/>
          <w:color w:val="20252B"/>
          <w:sz w:val="22"/>
        </w:rPr>
        <w:t>La suite automatisée couvre un périmètre métier large et cohérent pour un projet PHP natif.</w:t>
      </w:r>
    </w:p>
    <w:p>
      <w:pPr>
        <w:pStyle w:val="ListBullet"/>
        <w:spacing w:after="60"/>
      </w:pPr>
      <w:r>
        <w:rPr>
          <w:rFonts w:ascii="Calibri" w:hAnsi="Calibri"/>
          <w:b w:val="0"/>
          <w:i w:val="0"/>
          <w:color w:val="20252B"/>
          <w:sz w:val="22"/>
        </w:rPr>
        <w:t>Les scénarios critiques d'authentification, d'articles, de recherche et de communautés sont protégés par des tests répétables.</w:t>
      </w:r>
    </w:p>
    <w:p>
      <w:pPr>
        <w:pStyle w:val="ListBullet"/>
        <w:spacing w:after="60"/>
      </w:pPr>
      <w:r>
        <w:rPr>
          <w:rFonts w:ascii="Calibri" w:hAnsi="Calibri"/>
          <w:b w:val="0"/>
          <w:i w:val="0"/>
          <w:color w:val="20252B"/>
          <w:sz w:val="22"/>
        </w:rPr>
        <w:t>Aucun défaut bloquant n'a été observé dans le périmètre exécuté le 3 mai 2026.</w:t>
      </w:r>
    </w:p>
    <w:p>
      <w:pPr>
        <w:pStyle w:val="Heading2"/>
        <w:spacing w:before="200" w:after="100"/>
      </w:pPr>
      <w:r>
        <w:t>5.2 Limites du présent rapport</w:t>
      </w:r>
    </w:p>
    <w:p>
      <w:pPr>
        <w:pStyle w:val="ListBullet"/>
        <w:spacing w:after="60"/>
      </w:pPr>
      <w:r>
        <w:rPr>
          <w:rFonts w:ascii="Calibri" w:hAnsi="Calibri"/>
          <w:b w:val="0"/>
          <w:i w:val="0"/>
          <w:color w:val="20252B"/>
          <w:sz w:val="22"/>
        </w:rPr>
        <w:t>Ce rapport ne constitue pas un audit de sécurité offensif.</w:t>
      </w:r>
    </w:p>
    <w:p>
      <w:pPr>
        <w:pStyle w:val="ListBullet"/>
        <w:spacing w:after="60"/>
      </w:pPr>
      <w:r>
        <w:rPr>
          <w:rFonts w:ascii="Calibri" w:hAnsi="Calibri"/>
          <w:b w:val="0"/>
          <w:i w:val="0"/>
          <w:color w:val="20252B"/>
          <w:sz w:val="22"/>
        </w:rPr>
        <w:t>Aucune campagne de charge ou de mesure de performance sous concurrence n'est documentée ici.</w:t>
      </w:r>
    </w:p>
    <w:p>
      <w:pPr>
        <w:pStyle w:val="ListBullet"/>
        <w:spacing w:after="60"/>
      </w:pPr>
      <w:r>
        <w:rPr>
          <w:rFonts w:ascii="Calibri" w:hAnsi="Calibri"/>
          <w:b w:val="0"/>
          <w:i w:val="0"/>
          <w:color w:val="20252B"/>
          <w:sz w:val="22"/>
        </w:rPr>
        <w:t>Les aspects purement visuels de l'interface n'ont pas fait l'objet d'une preuve exhaustive dans cette campagne automatisée.</w:t>
      </w:r>
    </w:p>
    <w:p>
      <w:pPr>
        <w:pStyle w:val="Heading2"/>
        <w:spacing w:before="200" w:after="100"/>
      </w:pPr>
      <w:r>
        <w:t>5.3 Recommandations</w:t>
      </w:r>
    </w:p>
    <w:p>
      <w:pPr>
        <w:pStyle w:val="ListNumber"/>
        <w:spacing w:after="60"/>
      </w:pPr>
      <w:r>
        <w:rPr>
          <w:rFonts w:ascii="Calibri" w:hAnsi="Calibri"/>
          <w:b w:val="0"/>
          <w:i w:val="0"/>
          <w:color w:val="20252B"/>
          <w:sz w:val="22"/>
        </w:rPr>
        <w:t>Conserver la suite PHPUnit comme socle de non-régression et l'exécuter à chaque livraison.</w:t>
      </w:r>
    </w:p>
    <w:p>
      <w:pPr>
        <w:pStyle w:val="ListNumber"/>
        <w:spacing w:after="60"/>
      </w:pPr>
      <w:r>
        <w:rPr>
          <w:rFonts w:ascii="Calibri" w:hAnsi="Calibri"/>
          <w:b w:val="0"/>
          <w:i w:val="0"/>
          <w:color w:val="20252B"/>
          <w:sz w:val="22"/>
        </w:rPr>
        <w:t>Ajouter ultérieurement une suite Performance active si l'équipe souhaite industrialiser ce volet dans le dépôt.</w:t>
      </w:r>
    </w:p>
    <w:p>
      <w:pPr>
        <w:pStyle w:val="ListNumber"/>
        <w:spacing w:after="60"/>
      </w:pPr>
      <w:r>
        <w:rPr>
          <w:rFonts w:ascii="Calibri" w:hAnsi="Calibri"/>
          <w:b w:val="0"/>
          <w:i w:val="0"/>
          <w:color w:val="20252B"/>
          <w:sz w:val="22"/>
        </w:rPr>
        <w:t>Compléter ce rapport par le livrable sécurité et le livrable performance rédigés par les autres membres.</w:t>
      </w:r>
    </w:p>
    <w:p>
      <w:pPr>
        <w:pStyle w:val="Heading1"/>
        <w:spacing w:before="200" w:after="100"/>
      </w:pPr>
      <w:r>
        <w:t>Annexe A. Commandes et chiffres clés</w:t>
      </w:r>
    </w:p>
    <w:p>
      <w:pPr>
        <w:spacing w:after="120"/>
        <w:jc w:val="both"/>
      </w:pPr>
      <w:r>
        <w:rPr>
          <w:rFonts w:ascii="Calibri" w:hAnsi="Calibri"/>
          <w:b/>
          <w:i w:val="0"/>
          <w:color w:val="214E60"/>
          <w:sz w:val="22"/>
        </w:rPr>
        <w:t xml:space="preserve">Commande: </w:t>
      </w:r>
      <w:r>
        <w:rPr>
          <w:rFonts w:ascii="Calibri" w:hAnsi="Calibri"/>
          <w:b w:val="0"/>
          <w:i w:val="0"/>
          <w:color w:val="20252B"/>
          <w:sz w:val="22"/>
        </w:rPr>
        <w:t>Commande globale exécutée: vendor\bin\phpunit.bat</w:t>
      </w:r>
    </w:p>
    <w:p>
      <w:pPr>
        <w:spacing w:after="120"/>
        <w:jc w:val="both"/>
      </w:pPr>
      <w:r>
        <w:rPr>
          <w:rFonts w:ascii="Calibri" w:hAnsi="Calibri"/>
          <w:b/>
          <w:i w:val="0"/>
          <w:color w:val="214E60"/>
          <w:sz w:val="22"/>
        </w:rPr>
        <w:t xml:space="preserve">Détail: </w:t>
      </w:r>
      <w:r>
        <w:rPr>
          <w:rFonts w:ascii="Calibri" w:hAnsi="Calibri"/>
          <w:b w:val="0"/>
          <w:i w:val="0"/>
          <w:color w:val="20252B"/>
          <w:sz w:val="22"/>
        </w:rPr>
        <w:t>Suites détaillées exécutées séparément: --testsuite Unit, --testsuite Integration, --testsuite Advanced.</w:t>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D9EAF0"/>
          </w:tcPr>
          <w:p>
            <w:r>
              <w:rPr>
                <w:rFonts w:ascii="Calibri" w:hAnsi="Calibri"/>
                <w:b/>
                <w:i w:val="0"/>
                <w:color w:val="214E60"/>
                <w:sz w:val="20"/>
              </w:rPr>
              <w:t>Commande</w:t>
            </w:r>
          </w:p>
        </w:tc>
        <w:tc>
          <w:tcPr>
            <w:tcW w:type="dxa" w:w="4873"/>
            <w:vAlign w:val="center"/>
            <w:shd w:fill="D9EAF0"/>
          </w:tcPr>
          <w:p>
            <w:r>
              <w:rPr>
                <w:rFonts w:ascii="Calibri" w:hAnsi="Calibri"/>
                <w:b/>
                <w:i w:val="0"/>
                <w:color w:val="214E60"/>
                <w:sz w:val="20"/>
              </w:rPr>
              <w:t>Résultat</w:t>
            </w:r>
          </w:p>
        </w:tc>
      </w:tr>
      <w:tr>
        <w:tc>
          <w:tcPr>
            <w:tcW w:type="dxa" w:w="4873"/>
            <w:vAlign w:val="center"/>
          </w:tcPr>
          <w:p>
            <w:r>
              <w:rPr>
                <w:rFonts w:ascii="Calibri" w:hAnsi="Calibri"/>
                <w:b w:val="0"/>
                <w:i w:val="0"/>
                <w:color w:val="20252B"/>
                <w:sz w:val="20"/>
              </w:rPr>
              <w:t>vendor\bin\phpunit.bat</w:t>
            </w:r>
          </w:p>
        </w:tc>
        <w:tc>
          <w:tcPr>
            <w:tcW w:type="dxa" w:w="4873"/>
            <w:vAlign w:val="center"/>
          </w:tcPr>
          <w:p>
            <w:r>
              <w:rPr>
                <w:rFonts w:ascii="Calibri" w:hAnsi="Calibri"/>
                <w:b w:val="0"/>
                <w:i w:val="0"/>
                <w:color w:val="20252B"/>
                <w:sz w:val="20"/>
              </w:rPr>
              <w:t>OK - 84 tests, 471 assertions</w:t>
            </w:r>
          </w:p>
        </w:tc>
      </w:tr>
      <w:tr>
        <w:tc>
          <w:tcPr>
            <w:tcW w:type="dxa" w:w="4873"/>
            <w:vAlign w:val="center"/>
          </w:tcPr>
          <w:p>
            <w:r>
              <w:rPr>
                <w:rFonts w:ascii="Calibri" w:hAnsi="Calibri"/>
                <w:b w:val="0"/>
                <w:i w:val="0"/>
                <w:color w:val="20252B"/>
                <w:sz w:val="20"/>
              </w:rPr>
              <w:t>vendor\bin\phpunit.bat --testsuite Unit</w:t>
            </w:r>
          </w:p>
        </w:tc>
        <w:tc>
          <w:tcPr>
            <w:tcW w:type="dxa" w:w="4873"/>
            <w:vAlign w:val="center"/>
          </w:tcPr>
          <w:p>
            <w:r>
              <w:rPr>
                <w:rFonts w:ascii="Calibri" w:hAnsi="Calibri"/>
                <w:b w:val="0"/>
                <w:i w:val="0"/>
                <w:color w:val="20252B"/>
                <w:sz w:val="20"/>
              </w:rPr>
              <w:t>OK - 13 tests, 143 assertions</w:t>
            </w:r>
          </w:p>
        </w:tc>
      </w:tr>
      <w:tr>
        <w:tc>
          <w:tcPr>
            <w:tcW w:type="dxa" w:w="4873"/>
            <w:vAlign w:val="center"/>
          </w:tcPr>
          <w:p>
            <w:r>
              <w:rPr>
                <w:rFonts w:ascii="Calibri" w:hAnsi="Calibri"/>
                <w:b w:val="0"/>
                <w:i w:val="0"/>
                <w:color w:val="20252B"/>
                <w:sz w:val="20"/>
              </w:rPr>
              <w:t>vendor\bin\phpunit.bat --testsuite Integration</w:t>
            </w:r>
          </w:p>
        </w:tc>
        <w:tc>
          <w:tcPr>
            <w:tcW w:type="dxa" w:w="4873"/>
            <w:vAlign w:val="center"/>
          </w:tcPr>
          <w:p>
            <w:r>
              <w:rPr>
                <w:rFonts w:ascii="Calibri" w:hAnsi="Calibri"/>
                <w:b w:val="0"/>
                <w:i w:val="0"/>
                <w:color w:val="20252B"/>
                <w:sz w:val="20"/>
              </w:rPr>
              <w:t>OK - 37 tests, 180 assertions</w:t>
            </w:r>
          </w:p>
        </w:tc>
      </w:tr>
      <w:tr>
        <w:tc>
          <w:tcPr>
            <w:tcW w:type="dxa" w:w="4873"/>
            <w:vAlign w:val="center"/>
          </w:tcPr>
          <w:p>
            <w:r>
              <w:rPr>
                <w:rFonts w:ascii="Calibri" w:hAnsi="Calibri"/>
                <w:b w:val="0"/>
                <w:i w:val="0"/>
                <w:color w:val="20252B"/>
                <w:sz w:val="20"/>
              </w:rPr>
              <w:t>vendor\bin\phpunit.bat --testsuite Advanced</w:t>
            </w:r>
          </w:p>
        </w:tc>
        <w:tc>
          <w:tcPr>
            <w:tcW w:type="dxa" w:w="4873"/>
            <w:vAlign w:val="center"/>
          </w:tcPr>
          <w:p>
            <w:r>
              <w:rPr>
                <w:rFonts w:ascii="Calibri" w:hAnsi="Calibri"/>
                <w:b w:val="0"/>
                <w:i w:val="0"/>
                <w:color w:val="20252B"/>
                <w:sz w:val="20"/>
              </w:rPr>
              <w:t>OK - 34 tests, 148 assertions</w:t>
            </w:r>
          </w:p>
        </w:tc>
      </w:tr>
    </w:tbl>
    <w:p/>
    <w:sectPr w:rsidR="00FC693F" w:rsidRPr="0006063C" w:rsidSect="00034616">
      <w:footerReference w:type="default" r:id="rId10"/>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b w:val="0"/>
        <w:i w:val="0"/>
        <w:color w:val="606870"/>
        <w:sz w:val="18"/>
      </w:rPr>
      <w:t>Rapport final - IBlog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b w:val="0"/>
        <w:i w:val="0"/>
        <w:color w:val="606870"/>
        <w:sz w:val="18"/>
      </w:rPr>
      <w:t>Rapport final - IBlog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214E6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214E6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214E6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214E6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