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9D82C">
      <w:pPr>
        <w:keepNext w:val="0"/>
        <w:keepLines w:val="0"/>
        <w:widowControl/>
        <w:suppressLineNumbers w:val="0"/>
        <w:spacing w:line="143" w:lineRule="atLeast"/>
        <w:jc w:val="center"/>
        <w:rPr>
          <w:rFonts w:hint="default" w:ascii="Times New Roman" w:hAnsi="Times New Roman" w:eastAsia="Calibri" w:cs="Times New Roman"/>
          <w:b/>
          <w:bCs/>
          <w:color w:val="000000"/>
          <w:sz w:val="28"/>
          <w:szCs w:val="28"/>
        </w:rPr>
      </w:pPr>
    </w:p>
    <w:p w14:paraId="53FCBE7F">
      <w:pPr>
        <w:keepNext w:val="0"/>
        <w:keepLines w:val="0"/>
        <w:widowControl/>
        <w:suppressLineNumbers w:val="0"/>
        <w:spacing w:line="143" w:lineRule="atLeast"/>
        <w:jc w:val="center"/>
        <w:rPr>
          <w:rFonts w:hint="default" w:ascii="Times New Roman" w:hAnsi="Times New Roman" w:eastAsia="Calibri" w:cs="Times New Roman"/>
          <w:b/>
          <w:bCs/>
          <w:color w:val="000000"/>
          <w:sz w:val="28"/>
          <w:szCs w:val="28"/>
        </w:rPr>
      </w:pPr>
    </w:p>
    <w:p w14:paraId="4646715F">
      <w:pPr>
        <w:keepNext w:val="0"/>
        <w:keepLines w:val="0"/>
        <w:widowControl/>
        <w:suppressLineNumbers w:val="0"/>
        <w:spacing w:line="143" w:lineRule="atLeast"/>
        <w:jc w:val="center"/>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Calibri" w:cs="Times New Roman"/>
          <w:b/>
          <w:bCs/>
          <w:color w:val="000000"/>
          <w:sz w:val="28"/>
          <w:szCs w:val="28"/>
        </w:rPr>
        <w:t xml:space="preserve">Parameter Configuration as Pedagogical Design: How </w:t>
      </w:r>
      <w:r>
        <w:rPr>
          <w:rFonts w:hint="default" w:ascii="Times New Roman" w:hAnsi="Times New Roman" w:eastAsia="Calibri" w:cs="Times New Roman"/>
          <w:b/>
          <w:bCs/>
          <w:color w:val="000000"/>
          <w:sz w:val="28"/>
          <w:szCs w:val="28"/>
          <w:lang w:val="en-GB"/>
        </w:rPr>
        <w:t xml:space="preserve">Parameter </w:t>
      </w:r>
      <w:r>
        <w:rPr>
          <w:rFonts w:hint="default" w:ascii="Times New Roman" w:hAnsi="Times New Roman" w:eastAsia="Calibri" w:cs="Times New Roman"/>
          <w:b/>
          <w:bCs/>
          <w:color w:val="000000"/>
          <w:sz w:val="28"/>
          <w:szCs w:val="28"/>
        </w:rPr>
        <w:t>Settings Shape Authorship and Creative Agency in AI-Assisted L2 Poetry Writing</w:t>
      </w:r>
    </w:p>
    <w:p w14:paraId="359687D9">
      <w:pPr>
        <w:keepNext w:val="0"/>
        <w:keepLines w:val="0"/>
        <w:widowControl/>
        <w:suppressLineNumbers w:val="0"/>
        <w:spacing w:line="143" w:lineRule="atLeast"/>
        <w:jc w:val="center"/>
        <w:rPr>
          <w:rFonts w:hint="default" w:ascii="Times New Roman" w:hAnsi="Times New Roman" w:eastAsia="宋体" w:cs="Times New Roman"/>
          <w:b/>
          <w:bCs/>
          <w:color w:val="000000"/>
          <w:kern w:val="0"/>
          <w:sz w:val="28"/>
          <w:szCs w:val="28"/>
          <w:lang w:val="en-US" w:eastAsia="zh-CN" w:bidi="ar"/>
        </w:rPr>
      </w:pPr>
    </w:p>
    <w:p w14:paraId="15FA3269">
      <w:pPr>
        <w:keepNext w:val="0"/>
        <w:keepLines w:val="0"/>
        <w:widowControl/>
        <w:suppressLineNumbers w:val="0"/>
        <w:spacing w:line="143" w:lineRule="atLeast"/>
        <w:jc w:val="center"/>
        <w:rPr>
          <w:rFonts w:hint="default" w:ascii="Times New Roman" w:hAnsi="Times New Roman" w:eastAsia="宋体" w:cs="Times New Roman"/>
          <w:b/>
          <w:bCs/>
          <w:color w:val="000000"/>
          <w:kern w:val="0"/>
          <w:sz w:val="28"/>
          <w:szCs w:val="28"/>
          <w:lang w:val="en-US" w:eastAsia="zh-CN" w:bidi="ar"/>
        </w:rPr>
      </w:pPr>
      <w:r>
        <w:rPr>
          <w:rFonts w:hint="default" w:ascii="Times New Roman" w:hAnsi="Times New Roman" w:eastAsia="宋体" w:cs="Times New Roman"/>
          <w:b/>
          <w:bCs/>
          <w:color w:val="000000"/>
          <w:kern w:val="0"/>
          <w:sz w:val="28"/>
          <w:szCs w:val="28"/>
          <w:lang w:val="en-US" w:eastAsia="zh-CN" w:bidi="ar"/>
        </w:rPr>
        <w:t>Abstract</w:t>
      </w:r>
    </w:p>
    <w:p w14:paraId="36D60A06">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sz w:val="28"/>
          <w:szCs w:val="28"/>
        </w:rPr>
        <w:t xml:space="preserve"> This study examines how LLM parameter configurations affect authorship perception and creative satisfaction in AI-assisted L2 poetry writing. Analyzing 10 students across four temperature conditions (0.3 vs. 0.8), we coded interactions using a three-type framework: Constraint Repair, Exemplar Giving, Surprise Harvest. High-temperature generated Surprise Harvest at seven times low-temperature rates (35% vs. 5%), correlating with sixfold higher self-authorship (62.5% vs. 10%) and doubled satisfaction (4.75/5 vs. 2.0/5). Exemplar Giving showed paradox: 75% rated most helpful yet produced lowest authorship (10%). Findings demonstrate parameters systematically shape interaction types, affecting learner motivation and creative agency—establishing parameter configuration as fundamental pedagogical design choice.</w:t>
      </w:r>
    </w:p>
    <w:p w14:paraId="176BA29F">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p>
    <w:p w14:paraId="3FD725F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sz w:val="28"/>
          <w:szCs w:val="28"/>
          <w:lang w:val="en-GB"/>
        </w:rPr>
        <w:t xml:space="preserve">Key words: </w:t>
      </w:r>
      <w:r>
        <w:rPr>
          <w:rFonts w:hint="default" w:ascii="Times New Roman" w:hAnsi="Times New Roman" w:eastAsia="Calibri" w:cs="Times New Roman"/>
          <w:color w:val="000000"/>
          <w:sz w:val="28"/>
          <w:szCs w:val="28"/>
        </w:rPr>
        <w:t xml:space="preserve">AI-assisted </w:t>
      </w:r>
      <w:r>
        <w:rPr>
          <w:rFonts w:hint="default" w:ascii="Times New Roman" w:hAnsi="Times New Roman" w:eastAsia="Calibri" w:cs="Times New Roman"/>
          <w:color w:val="000000"/>
          <w:sz w:val="28"/>
          <w:szCs w:val="28"/>
          <w:lang w:val="en-GB"/>
        </w:rPr>
        <w:t>pedagogy</w:t>
      </w:r>
      <w:r>
        <w:rPr>
          <w:rFonts w:hint="default" w:ascii="Times New Roman" w:hAnsi="Times New Roman" w:eastAsia="Calibri" w:cs="Times New Roman"/>
          <w:color w:val="000000"/>
          <w:sz w:val="28"/>
          <w:szCs w:val="28"/>
        </w:rPr>
        <w:t>, L2 poetry</w:t>
      </w:r>
      <w:r>
        <w:rPr>
          <w:rFonts w:hint="default" w:ascii="Times New Roman" w:hAnsi="Times New Roman" w:eastAsia="Calibri" w:cs="Times New Roman"/>
          <w:color w:val="000000"/>
          <w:sz w:val="28"/>
          <w:szCs w:val="28"/>
          <w:lang w:val="en-GB"/>
        </w:rPr>
        <w:t xml:space="preserve"> writing</w:t>
      </w:r>
      <w:r>
        <w:rPr>
          <w:rFonts w:hint="default" w:ascii="Times New Roman" w:hAnsi="Times New Roman" w:eastAsia="Calibri" w:cs="Times New Roman"/>
          <w:color w:val="000000"/>
          <w:sz w:val="28"/>
          <w:szCs w:val="28"/>
        </w:rPr>
        <w:t>, creative agency, LLM parameters, human-AI collaboration</w:t>
      </w:r>
    </w:p>
    <w:p w14:paraId="1D534447">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09A56C32">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1. Introduction</w:t>
      </w:r>
    </w:p>
    <w:p w14:paraId="54AB46BA">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1.1 The Challenge of L2 Creative Writing Pedagogy</w:t>
      </w:r>
    </w:p>
    <w:p w14:paraId="66C4A9D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5C3F84BF">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Poetry writing in second language (L2) contexts presents unique challenges: L2 learners must develop linguistic competence while cultivating creative expression and personal voice (Hanauer, 2010). Traditional L2 poetry pedagogy employs scaffolded approaches emphasizing imitation-transformation processes, yet encounters persistent difficulties: limited access to diverse exemplars, insufficient individualized feedback, and constrained exploration beyond predetermined models. Critically, L2 poetry writing raises questions of </w:t>
      </w:r>
      <w:r>
        <w:rPr>
          <w:rFonts w:hint="default" w:ascii="Times New Roman" w:hAnsi="Times New Roman" w:eastAsia="Calibri" w:cs="Times New Roman"/>
          <w:b/>
          <w:bCs/>
          <w:color w:val="000000"/>
          <w:kern w:val="0"/>
          <w:sz w:val="28"/>
          <w:szCs w:val="28"/>
          <w:lang w:val="en-US" w:eastAsia="zh-CN" w:bidi="ar"/>
        </w:rPr>
        <w:t>authorship</w:t>
      </w:r>
      <w:r>
        <w:rPr>
          <w:rFonts w:hint="default" w:ascii="Times New Roman" w:hAnsi="Times New Roman" w:eastAsia="Calibri" w:cs="Times New Roman"/>
          <w:color w:val="000000"/>
          <w:kern w:val="0"/>
          <w:sz w:val="28"/>
          <w:szCs w:val="28"/>
          <w:lang w:val="en-US" w:eastAsia="zh-CN" w:bidi="ar"/>
        </w:rPr>
        <w:t xml:space="preserve"> and </w:t>
      </w:r>
      <w:r>
        <w:rPr>
          <w:rFonts w:hint="default" w:ascii="Times New Roman" w:hAnsi="Times New Roman" w:eastAsia="Calibri" w:cs="Times New Roman"/>
          <w:b/>
          <w:bCs/>
          <w:color w:val="000000"/>
          <w:kern w:val="0"/>
          <w:sz w:val="28"/>
          <w:szCs w:val="28"/>
          <w:lang w:val="en-US" w:eastAsia="zh-CN" w:bidi="ar"/>
        </w:rPr>
        <w:t>creative agency</w:t>
      </w:r>
      <w:r>
        <w:rPr>
          <w:rFonts w:hint="default" w:ascii="Times New Roman" w:hAnsi="Times New Roman" w:eastAsia="Calibri" w:cs="Times New Roman"/>
          <w:color w:val="000000"/>
          <w:kern w:val="0"/>
          <w:sz w:val="28"/>
          <w:szCs w:val="28"/>
          <w:lang w:val="en-US" w:eastAsia="zh-CN" w:bidi="ar"/>
        </w:rPr>
        <w:t>: when do learners perceive poems as genuinely “theirs” rather than assembled from templates?</w:t>
      </w:r>
    </w:p>
    <w:p w14:paraId="403BFF3C">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78C31AC4">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Yet structured creative pedagogy itself poses risks: overly prescribed approaches may inhibit students’ </w:t>
      </w:r>
      <w:r>
        <w:rPr>
          <w:rFonts w:hint="eastAsia" w:ascii="Times New Roman" w:hAnsi="Times New Roman" w:eastAsia="Calibri" w:cs="Times New Roman"/>
          <w:color w:val="000000"/>
          <w:kern w:val="0"/>
          <w:sz w:val="28"/>
          <w:szCs w:val="28"/>
          <w:lang w:val="en-US" w:eastAsia="zh-CN" w:bidi="ar"/>
        </w:rPr>
        <w:t xml:space="preserve">geniune </w:t>
      </w:r>
      <w:r>
        <w:rPr>
          <w:rFonts w:hint="default" w:ascii="Times New Roman" w:hAnsi="Times New Roman" w:eastAsia="Calibri" w:cs="Times New Roman"/>
          <w:color w:val="000000"/>
          <w:kern w:val="0"/>
          <w:sz w:val="28"/>
          <w:szCs w:val="28"/>
          <w:lang w:val="en-US" w:eastAsia="zh-CN" w:bidi="ar"/>
        </w:rPr>
        <w:t xml:space="preserve">expression of  voice, </w:t>
      </w:r>
      <w:r>
        <w:rPr>
          <w:rFonts w:hint="default" w:ascii="Times New Roman" w:hAnsi="Times New Roman" w:eastAsia="Calibri" w:cs="Times New Roman"/>
          <w:b w:val="0"/>
          <w:bCs w:val="0"/>
          <w:color w:val="000000"/>
          <w:kern w:val="0"/>
          <w:sz w:val="28"/>
          <w:szCs w:val="28"/>
          <w:lang w:val="en-US" w:eastAsia="zh-CN" w:bidi="ar"/>
        </w:rPr>
        <w:t xml:space="preserve"> </w:t>
      </w:r>
      <w:r>
        <w:rPr>
          <w:rFonts w:hint="eastAsia" w:ascii="Times New Roman" w:hAnsi="Times New Roman" w:eastAsia="Calibri" w:cs="Times New Roman"/>
          <w:b w:val="0"/>
          <w:bCs w:val="0"/>
          <w:color w:val="000000"/>
          <w:kern w:val="0"/>
          <w:sz w:val="28"/>
          <w:szCs w:val="28"/>
          <w:lang w:val="en-US" w:eastAsia="zh-CN" w:bidi="ar"/>
        </w:rPr>
        <w:t xml:space="preserve">the </w:t>
      </w:r>
      <w:r>
        <w:rPr>
          <w:rFonts w:hint="default" w:ascii="Times New Roman" w:hAnsi="Times New Roman" w:eastAsia="Calibri" w:cs="Times New Roman"/>
          <w:b w:val="0"/>
          <w:bCs w:val="0"/>
          <w:color w:val="000000"/>
          <w:kern w:val="0"/>
          <w:sz w:val="28"/>
          <w:szCs w:val="28"/>
          <w:lang w:val="en-US" w:eastAsia="zh-CN" w:bidi="ar"/>
        </w:rPr>
        <w:t>fear making errors or expressing vulnerable content (Hanauer, 2010)</w:t>
      </w:r>
      <w:r>
        <w:rPr>
          <w:rFonts w:hint="eastAsia" w:ascii="Times New Roman" w:hAnsi="Times New Roman" w:eastAsia="Calibri" w:cs="Times New Roman"/>
          <w:b w:val="0"/>
          <w:bCs w:val="0"/>
          <w:color w:val="000000"/>
          <w:kern w:val="0"/>
          <w:sz w:val="28"/>
          <w:szCs w:val="28"/>
          <w:lang w:val="en-US" w:eastAsia="zh-CN" w:bidi="ar"/>
        </w:rPr>
        <w:t xml:space="preserve"> might </w:t>
      </w:r>
      <w:r>
        <w:rPr>
          <w:rFonts w:hint="default" w:ascii="Times New Roman" w:hAnsi="Times New Roman" w:eastAsia="Calibri" w:cs="Times New Roman"/>
          <w:color w:val="000000"/>
          <w:kern w:val="0"/>
          <w:sz w:val="28"/>
          <w:szCs w:val="28"/>
          <w:lang w:val="en-US" w:eastAsia="zh-CN" w:bidi="ar"/>
        </w:rPr>
        <w:t>interrupt</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 xml:space="preserve">the free flow of creative thought essential to authentic poetry writing. What L2 creative writing pedagogy ultimately seeks is an </w:t>
      </w:r>
      <w:r>
        <w:rPr>
          <w:rFonts w:hint="default" w:ascii="Times New Roman" w:hAnsi="Times New Roman" w:eastAsia="Calibri" w:cs="Times New Roman"/>
          <w:b/>
          <w:bCs/>
          <w:color w:val="000000"/>
          <w:kern w:val="0"/>
          <w:sz w:val="28"/>
          <w:szCs w:val="28"/>
          <w:lang w:val="en-US" w:eastAsia="zh-CN" w:bidi="ar"/>
        </w:rPr>
        <w:t>emotionally safe creative atmosphere</w:t>
      </w:r>
      <w:r>
        <w:rPr>
          <w:rFonts w:hint="default" w:ascii="Times New Roman" w:hAnsi="Times New Roman" w:eastAsia="Calibri" w:cs="Times New Roman"/>
          <w:color w:val="000000"/>
          <w:kern w:val="0"/>
          <w:sz w:val="28"/>
          <w:szCs w:val="28"/>
          <w:lang w:val="en-US" w:eastAsia="zh-CN" w:bidi="ar"/>
        </w:rPr>
        <w:t>—one where learners feel free to experiment without fear of instructor judgment or peer comparison, where linguistic limitations do not become barriers to creative exploration. These questions become urgent as AI writing assistants enter L2 classrooms, potentially transforming collaborative dynamics while offering new possibilities for balancing structure with creative freedom.</w:t>
      </w:r>
    </w:p>
    <w:p w14:paraId="33643F9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43159E2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 xml:space="preserve"> 1.2 AI as Collaborative Partner in Creative Writing</w:t>
      </w:r>
    </w:p>
    <w:p w14:paraId="6DB08A07">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69507576">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Large Language Models (LLMs) have transformed AI-assisted creative writing, shifting AI from tool to potential </w:t>
      </w:r>
      <w:r>
        <w:rPr>
          <w:rFonts w:hint="default" w:ascii="Times New Roman" w:hAnsi="Times New Roman" w:eastAsia="Calibri" w:cs="Times New Roman"/>
          <w:b/>
          <w:bCs/>
          <w:color w:val="000000"/>
          <w:kern w:val="0"/>
          <w:sz w:val="28"/>
          <w:szCs w:val="28"/>
          <w:lang w:val="en-US" w:eastAsia="zh-CN" w:bidi="ar"/>
        </w:rPr>
        <w:t>creative partner</w:t>
      </w:r>
      <w:r>
        <w:rPr>
          <w:rFonts w:hint="eastAsia" w:ascii="Times New Roman" w:hAnsi="Times New Roman" w:eastAsia="Calibri" w:cs="Times New Roman"/>
          <w:b/>
          <w:bCs/>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 xml:space="preserve">(Li, 2025). Coenen et al. (2022) identified </w:t>
      </w:r>
      <w:r>
        <w:rPr>
          <w:rFonts w:hint="default" w:ascii="Times New Roman" w:hAnsi="Times New Roman" w:eastAsia="Calibri" w:cs="Times New Roman"/>
          <w:b/>
          <w:bCs/>
          <w:color w:val="000000"/>
          <w:kern w:val="0"/>
          <w:sz w:val="28"/>
          <w:szCs w:val="28"/>
          <w:lang w:val="en-US" w:eastAsia="zh-CN" w:bidi="ar"/>
        </w:rPr>
        <w:t>serendipitous discovery</w:t>
      </w:r>
      <w:r>
        <w:rPr>
          <w:rFonts w:hint="default" w:ascii="Times New Roman" w:hAnsi="Times New Roman" w:eastAsia="Calibri" w:cs="Times New Roman"/>
          <w:color w:val="000000"/>
          <w:kern w:val="0"/>
          <w:sz w:val="28"/>
          <w:szCs w:val="28"/>
          <w:lang w:val="en-US" w:eastAsia="zh-CN" w:bidi="ar"/>
        </w:rPr>
        <w:t>—when AI generates surprising content revealing unconsidered possibilities—as crucial for creative collaboration. Qian et al. (2023) demonstrated that AI redistributes cognitive load, potentially supporting L2 learners facing high linguistic processing demands.</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 xml:space="preserve">Michel et al. (2025) found that AI’s pedagogical value depends on </w:t>
      </w:r>
      <w:r>
        <w:rPr>
          <w:rFonts w:hint="default" w:ascii="Times New Roman" w:hAnsi="Times New Roman" w:eastAsia="Calibri" w:cs="Times New Roman"/>
          <w:b/>
          <w:bCs/>
          <w:color w:val="000000"/>
          <w:kern w:val="0"/>
          <w:sz w:val="28"/>
          <w:szCs w:val="28"/>
          <w:lang w:val="en-US" w:eastAsia="zh-CN" w:bidi="ar"/>
        </w:rPr>
        <w:t>how</w:t>
      </w:r>
      <w:r>
        <w:rPr>
          <w:rFonts w:hint="default" w:ascii="Times New Roman" w:hAnsi="Times New Roman" w:eastAsia="Calibri" w:cs="Times New Roman"/>
          <w:color w:val="000000"/>
          <w:kern w:val="0"/>
          <w:sz w:val="28"/>
          <w:szCs w:val="28"/>
          <w:lang w:val="en-US" w:eastAsia="zh-CN" w:bidi="ar"/>
        </w:rPr>
        <w:t> collaborative interactions unfold. Yet studies rarely examine how different AI configurations affect collaboration: which role—corrective tutor, exemplar provider, or creative collaborator—best serves L2 creative writing pedagogy?</w:t>
      </w:r>
    </w:p>
    <w:p w14:paraId="17BFCBE5">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4EE97629">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color w:val="000000"/>
          <w:kern w:val="0"/>
          <w:sz w:val="28"/>
          <w:szCs w:val="28"/>
          <w:lang w:val="en-US" w:eastAsia="zh-CN" w:bidi="ar"/>
        </w:rPr>
        <w:t xml:space="preserve">This study utilizes </w:t>
      </w:r>
      <w:r>
        <w:rPr>
          <w:rFonts w:hint="default" w:ascii="Times New Roman" w:hAnsi="Times New Roman" w:eastAsia="Calibri" w:cs="Times New Roman"/>
          <w:b/>
          <w:bCs/>
          <w:color w:val="000000"/>
          <w:kern w:val="0"/>
          <w:sz w:val="28"/>
          <w:szCs w:val="28"/>
          <w:lang w:val="en-US" w:eastAsia="zh-CN" w:bidi="ar"/>
        </w:rPr>
        <w:t>parameter control</w:t>
      </w:r>
      <w:r>
        <w:rPr>
          <w:rFonts w:hint="default" w:ascii="Times New Roman" w:hAnsi="Times New Roman" w:eastAsia="Calibri" w:cs="Times New Roman"/>
          <w:color w:val="000000"/>
          <w:kern w:val="0"/>
          <w:sz w:val="28"/>
          <w:szCs w:val="28"/>
          <w:lang w:val="en-US" w:eastAsia="zh-CN" w:bidi="ar"/>
        </w:rPr>
        <w:t xml:space="preserve"> to investigate this question. LLM generation is controlled by </w:t>
      </w:r>
      <w:r>
        <w:rPr>
          <w:rFonts w:hint="default" w:ascii="Times New Roman" w:hAnsi="Times New Roman" w:eastAsia="Calibri" w:cs="Times New Roman"/>
          <w:b/>
          <w:bCs/>
          <w:color w:val="000000"/>
          <w:kern w:val="0"/>
          <w:sz w:val="28"/>
          <w:szCs w:val="28"/>
          <w:lang w:val="en-US" w:eastAsia="zh-CN" w:bidi="ar"/>
        </w:rPr>
        <w:t>temperature</w:t>
      </w:r>
      <w:r>
        <w:rPr>
          <w:rFonts w:hint="default" w:ascii="Times New Roman" w:hAnsi="Times New Roman" w:eastAsia="Calibri" w:cs="Times New Roman"/>
          <w:color w:val="000000"/>
          <w:kern w:val="0"/>
          <w:sz w:val="28"/>
          <w:szCs w:val="28"/>
          <w:lang w:val="en-US" w:eastAsia="zh-CN" w:bidi="ar"/>
        </w:rPr>
        <w:t xml:space="preserve"> and </w:t>
      </w:r>
      <w:r>
        <w:rPr>
          <w:rFonts w:hint="default" w:ascii="Times New Roman" w:hAnsi="Times New Roman" w:eastAsia="Calibri" w:cs="Times New Roman"/>
          <w:b/>
          <w:bCs/>
          <w:color w:val="000000"/>
          <w:kern w:val="0"/>
          <w:sz w:val="28"/>
          <w:szCs w:val="28"/>
          <w:lang w:val="en-US" w:eastAsia="zh-CN" w:bidi="ar"/>
        </w:rPr>
        <w:t>top-p</w:t>
      </w:r>
      <w:r>
        <w:rPr>
          <w:rFonts w:hint="default" w:ascii="Times New Roman" w:hAnsi="Times New Roman" w:eastAsia="Calibri" w:cs="Times New Roman"/>
          <w:color w:val="000000"/>
          <w:kern w:val="0"/>
          <w:sz w:val="28"/>
          <w:szCs w:val="28"/>
          <w:lang w:val="en-US" w:eastAsia="zh-CN" w:bidi="ar"/>
        </w:rPr>
        <w:t xml:space="preserve"> parameters: lower values (0.3-0.4) produce predictable outputs; higher values (0.8-0.9) generate surprising content (Holtzman et al., 2019; Li et al., 2025; Peeperkorn et al., 2024). By systematically manipulating these parameters, we examine how configurations translate into interaction patterns affecting </w:t>
      </w:r>
      <w:r>
        <w:rPr>
          <w:rFonts w:hint="default" w:ascii="Times New Roman" w:hAnsi="Times New Roman" w:eastAsia="Calibri" w:cs="Times New Roman"/>
          <w:b/>
          <w:bCs/>
          <w:color w:val="000000"/>
          <w:kern w:val="0"/>
          <w:sz w:val="28"/>
          <w:szCs w:val="28"/>
          <w:lang w:val="en-US" w:eastAsia="zh-CN" w:bidi="ar"/>
        </w:rPr>
        <w:t>authorship perception</w:t>
      </w:r>
      <w:r>
        <w:rPr>
          <w:rFonts w:hint="default"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b/>
          <w:bCs/>
          <w:color w:val="000000"/>
          <w:kern w:val="0"/>
          <w:sz w:val="28"/>
          <w:szCs w:val="28"/>
          <w:lang w:val="en-US" w:eastAsia="zh-CN" w:bidi="ar"/>
        </w:rPr>
        <w:t>creative satisfaction</w:t>
      </w:r>
      <w:r>
        <w:rPr>
          <w:rFonts w:hint="default" w:ascii="Times New Roman" w:hAnsi="Times New Roman" w:eastAsia="Calibri" w:cs="Times New Roman"/>
          <w:color w:val="000000"/>
          <w:kern w:val="0"/>
          <w:sz w:val="28"/>
          <w:szCs w:val="28"/>
          <w:lang w:val="en-US" w:eastAsia="zh-CN" w:bidi="ar"/>
        </w:rPr>
        <w:t xml:space="preserve">, and </w:t>
      </w:r>
      <w:r>
        <w:rPr>
          <w:rFonts w:hint="default" w:ascii="Times New Roman" w:hAnsi="Times New Roman" w:eastAsia="Calibri" w:cs="Times New Roman"/>
          <w:b/>
          <w:bCs/>
          <w:color w:val="000000"/>
          <w:kern w:val="0"/>
          <w:sz w:val="28"/>
          <w:szCs w:val="28"/>
          <w:lang w:val="en-US" w:eastAsia="zh-CN" w:bidi="ar"/>
        </w:rPr>
        <w:t>motivation</w:t>
      </w:r>
      <w:r>
        <w:rPr>
          <w:rFonts w:hint="default" w:ascii="Times New Roman" w:hAnsi="Times New Roman" w:eastAsia="Calibri" w:cs="Times New Roman"/>
          <w:color w:val="000000"/>
          <w:kern w:val="0"/>
          <w:sz w:val="28"/>
          <w:szCs w:val="28"/>
          <w:lang w:val="en-US" w:eastAsia="zh-CN" w:bidi="ar"/>
        </w:rPr>
        <w:t>.</w:t>
      </w:r>
    </w:p>
    <w:p w14:paraId="6C761DE1">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07F5592A">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1.3 Theoretical Framework: Three Interaction Types</w:t>
      </w:r>
    </w:p>
    <w:p w14:paraId="78C4E2D2">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62A4906C">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We predict that parameter configurations will systematically shape three distinct interaction types, each grounded in established pedagogical theory. </w:t>
      </w:r>
      <w:r>
        <w:rPr>
          <w:rFonts w:hint="default" w:ascii="Times New Roman" w:hAnsi="Times New Roman" w:eastAsia="Calibri" w:cs="Times New Roman"/>
          <w:b/>
          <w:bCs/>
          <w:color w:val="000000"/>
          <w:kern w:val="0"/>
          <w:sz w:val="28"/>
          <w:szCs w:val="28"/>
          <w:lang w:val="en-US" w:eastAsia="zh-CN" w:bidi="ar"/>
        </w:rPr>
        <w:t>Low-temperature settings</w:t>
      </w:r>
      <w:r>
        <w:rPr>
          <w:rFonts w:hint="default" w:ascii="Times New Roman" w:hAnsi="Times New Roman" w:eastAsia="Calibri" w:cs="Times New Roman"/>
          <w:color w:val="000000"/>
          <w:kern w:val="0"/>
          <w:sz w:val="28"/>
          <w:szCs w:val="28"/>
          <w:lang w:val="en-US" w:eastAsia="zh-CN" w:bidi="ar"/>
        </w:rPr>
        <w:t xml:space="preserve"> imitate structured scaffolding pedagogies, mimicking processes where teachers identify structural or linguistic issues and provide corrections—what we term </w:t>
      </w:r>
      <w:r>
        <w:rPr>
          <w:rFonts w:hint="default" w:ascii="Times New Roman" w:hAnsi="Times New Roman" w:eastAsia="Calibri" w:cs="Times New Roman"/>
          <w:b/>
          <w:bCs/>
          <w:color w:val="000000"/>
          <w:kern w:val="0"/>
          <w:sz w:val="28"/>
          <w:szCs w:val="28"/>
          <w:lang w:val="en-US" w:eastAsia="zh-CN" w:bidi="ar"/>
        </w:rPr>
        <w:t>Type A: Constraint Repair</w:t>
      </w:r>
      <w:r>
        <w:rPr>
          <w:rFonts w:hint="default" w:ascii="Times New Roman" w:hAnsi="Times New Roman" w:eastAsia="Calibri" w:cs="Times New Roman"/>
          <w:color w:val="000000"/>
          <w:kern w:val="0"/>
          <w:sz w:val="28"/>
          <w:szCs w:val="28"/>
          <w:lang w:val="en-US" w:eastAsia="zh-CN" w:bidi="ar"/>
        </w:rPr>
        <w:t xml:space="preserve">. Here AI functions as diagnostic tool aligned with Lyster and Ranta’s (1997) corrective feedback taxonomy, surfacing areas needing attention and enabling focused revision. </w:t>
      </w:r>
      <w:r>
        <w:rPr>
          <w:rFonts w:hint="default" w:ascii="Times New Roman" w:hAnsi="Times New Roman" w:eastAsia="Calibri" w:cs="Times New Roman"/>
          <w:b/>
          <w:bCs/>
          <w:color w:val="000000"/>
          <w:kern w:val="0"/>
          <w:sz w:val="28"/>
          <w:szCs w:val="28"/>
          <w:lang w:val="en-US" w:eastAsia="zh-CN" w:bidi="ar"/>
        </w:rPr>
        <w:t>High-temperature settings</w:t>
      </w:r>
      <w:r>
        <w:rPr>
          <w:rFonts w:hint="default" w:ascii="Times New Roman" w:hAnsi="Times New Roman" w:eastAsia="Calibri" w:cs="Times New Roman"/>
          <w:color w:val="000000"/>
          <w:kern w:val="0"/>
          <w:sz w:val="28"/>
          <w:szCs w:val="28"/>
          <w:lang w:val="en-US" w:eastAsia="zh-CN" w:bidi="ar"/>
        </w:rPr>
        <w:t> , with AI being more active and creative, are expected to generate unexpected possibilities uncommon in traditional classrooms—</w:t>
      </w:r>
      <w:r>
        <w:rPr>
          <w:rFonts w:hint="default" w:ascii="Times New Roman" w:hAnsi="Times New Roman" w:eastAsia="Calibri" w:cs="Times New Roman"/>
          <w:b/>
          <w:bCs/>
          <w:color w:val="000000"/>
          <w:kern w:val="0"/>
          <w:sz w:val="28"/>
          <w:szCs w:val="28"/>
          <w:lang w:val="en-US" w:eastAsia="zh-CN" w:bidi="ar"/>
        </w:rPr>
        <w:t>Type C: Surprise Harvest</w:t>
      </w:r>
      <w:r>
        <w:rPr>
          <w:rFonts w:hint="default" w:ascii="Times New Roman" w:hAnsi="Times New Roman" w:eastAsia="Calibri" w:cs="Times New Roman"/>
          <w:color w:val="000000"/>
          <w:kern w:val="0"/>
          <w:sz w:val="28"/>
          <w:szCs w:val="28"/>
          <w:lang w:val="en-US" w:eastAsia="zh-CN" w:bidi="ar"/>
        </w:rPr>
        <w:t xml:space="preserve">. Following Coenen et al.'s (2022) serendipitous discovery findings, this interaction capitalizes on AI's capacity to expand creative search spaces, supporting learners in transcending predictable patterns. </w:t>
      </w:r>
      <w:r>
        <w:rPr>
          <w:rFonts w:hint="default" w:ascii="Times New Roman" w:hAnsi="Times New Roman" w:eastAsia="Calibri" w:cs="Times New Roman"/>
          <w:b/>
          <w:bCs/>
          <w:color w:val="000000"/>
          <w:kern w:val="0"/>
          <w:sz w:val="28"/>
          <w:szCs w:val="28"/>
          <w:lang w:val="en-US" w:eastAsia="zh-CN" w:bidi="ar"/>
        </w:rPr>
        <w:t>Type B: Exemplar Giving</w:t>
      </w:r>
      <w:r>
        <w:rPr>
          <w:rFonts w:hint="default" w:ascii="Times New Roman" w:hAnsi="Times New Roman" w:eastAsia="Calibri" w:cs="Times New Roman"/>
          <w:color w:val="000000"/>
          <w:kern w:val="0"/>
          <w:sz w:val="28"/>
          <w:szCs w:val="28"/>
          <w:lang w:val="en-US" w:eastAsia="zh-CN" w:bidi="ar"/>
        </w:rPr>
        <w:t>—where AI provides model texts or line options students can select and adapt—may appear across both conditions, representing the universal imitation-transformation process fundamental to creative pedagogy (Hanauer, 2010). However, with AI as creative agent rather than human instructor, students' perception of exemplar-based interactions may differ significantly from traditional classroom experiences, potentially affecting authorship feelings and creative satisfaction in ways requiring empirical investigation.</w:t>
      </w:r>
    </w:p>
    <w:p w14:paraId="4011A08A">
      <w:pPr>
        <w:keepNext w:val="0"/>
        <w:keepLines w:val="0"/>
        <w:widowControl/>
        <w:suppressLineNumbers w:val="0"/>
        <w:spacing w:line="143" w:lineRule="atLeast"/>
        <w:ind w:firstLine="210" w:firstLineChars="100"/>
        <w:jc w:val="both"/>
      </w:pPr>
    </w:p>
    <w:p w14:paraId="00437B22">
      <w:pPr>
        <w:keepNext w:val="0"/>
        <w:keepLines w:val="0"/>
        <w:widowControl/>
        <w:suppressLineNumbers w:val="0"/>
        <w:spacing w:line="143" w:lineRule="atLeast"/>
        <w:ind w:firstLine="210" w:firstLineChars="100"/>
        <w:jc w:val="both"/>
      </w:pPr>
      <w:r>
        <w:drawing>
          <wp:inline distT="0" distB="0" distL="114300" distR="114300">
            <wp:extent cx="5263515" cy="3089275"/>
            <wp:effectExtent l="0" t="0" r="381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3515" cy="3089275"/>
                    </a:xfrm>
                    <a:prstGeom prst="rect">
                      <a:avLst/>
                    </a:prstGeom>
                    <a:noFill/>
                    <a:ln>
                      <a:noFill/>
                    </a:ln>
                  </pic:spPr>
                </pic:pic>
              </a:graphicData>
            </a:graphic>
          </wp:inline>
        </w:drawing>
      </w:r>
    </w:p>
    <w:p w14:paraId="61B6C4D0">
      <w:pPr>
        <w:keepNext w:val="0"/>
        <w:keepLines w:val="0"/>
        <w:widowControl/>
        <w:suppressLineNumbers w:val="0"/>
        <w:spacing w:line="143" w:lineRule="atLeast"/>
        <w:ind w:firstLine="240" w:firstLineChars="10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default" w:ascii="Times New Roman" w:hAnsi="Times New Roman" w:eastAsia="Calibri" w:cs="Times New Roman"/>
          <w:color w:val="000000"/>
          <w:sz w:val="24"/>
          <w:szCs w:val="24"/>
        </w:rPr>
        <w:t xml:space="preserve">Figure </w:t>
      </w:r>
      <w:r>
        <w:rPr>
          <w:rFonts w:hint="default" w:ascii="Times New Roman" w:hAnsi="Times New Roman" w:eastAsia="宋体" w:cs="Times New Roman"/>
          <w:color w:val="000000"/>
          <w:sz w:val="24"/>
          <w:szCs w:val="24"/>
          <w:lang w:val="en-US" w:eastAsia="zh-CN"/>
        </w:rPr>
        <w:t>1</w:t>
      </w:r>
      <w:r>
        <w:rPr>
          <w:rFonts w:hint="default" w:ascii="Times New Roman" w:hAnsi="Times New Roman" w:eastAsia="Calibri" w:cs="Times New Roman"/>
          <w:color w:val="000000"/>
          <w:sz w:val="24"/>
          <w:szCs w:val="24"/>
        </w:rPr>
        <w:t>: Three Interaction Types in AI-Assisted L2 Poetry Writin</w:t>
      </w:r>
      <w:r>
        <w:rPr>
          <w:rFonts w:hint="default" w:ascii="Times New Roman" w:hAnsi="Times New Roman" w:eastAsia="宋体" w:cs="Times New Roman"/>
          <w:color w:val="000000"/>
          <w:sz w:val="24"/>
          <w:szCs w:val="24"/>
          <w:lang w:val="en-US" w:eastAsia="zh-CN"/>
        </w:rPr>
        <w:t>g</w:t>
      </w:r>
      <w:r>
        <w:rPr>
          <w:rFonts w:hint="eastAsia" w:ascii="Times New Roman" w:hAnsi="Times New Roman" w:eastAsia="宋体" w:cs="Times New Roman"/>
          <w:color w:val="000000"/>
          <w:sz w:val="24"/>
          <w:szCs w:val="24"/>
          <w:lang w:val="en-US" w:eastAsia="zh-CN"/>
        </w:rPr>
        <w:t>)</w:t>
      </w:r>
    </w:p>
    <w:p w14:paraId="5C652383">
      <w:pPr>
        <w:keepNext w:val="0"/>
        <w:keepLines w:val="0"/>
        <w:widowControl/>
        <w:suppressLineNumbers w:val="0"/>
        <w:spacing w:line="143" w:lineRule="atLeast"/>
        <w:ind w:firstLine="240" w:firstLineChars="100"/>
        <w:jc w:val="both"/>
        <w:rPr>
          <w:rFonts w:hint="default" w:ascii="Times New Roman" w:hAnsi="Times New Roman" w:eastAsia="宋体" w:cs="Times New Roman"/>
          <w:color w:val="000000"/>
          <w:sz w:val="24"/>
          <w:szCs w:val="24"/>
          <w:lang w:val="en-US" w:eastAsia="zh-CN"/>
        </w:rPr>
      </w:pPr>
    </w:p>
    <w:p w14:paraId="7EF8F63F">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This paper presents preliminary findings examining how LLM parameter configurations affect these three interaction types in AI-assisted L2 poetry writing. The study addresses three research questions:</w:t>
      </w:r>
    </w:p>
    <w:p w14:paraId="0ADAB28D">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p>
    <w:p w14:paraId="6E51E919">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RQ1:</w:t>
      </w:r>
      <w:r>
        <w:rPr>
          <w:rFonts w:hint="default" w:ascii="Times New Roman" w:hAnsi="Times New Roman" w:eastAsia="Calibri" w:cs="Times New Roman"/>
          <w:color w:val="000000"/>
          <w:kern w:val="0"/>
          <w:sz w:val="28"/>
          <w:szCs w:val="28"/>
          <w:lang w:val="en-US" w:eastAsia="zh-CN" w:bidi="ar"/>
        </w:rPr>
        <w:t> How do different parameter configurations (low vs. high temperature) systematically affect interaction type distribution (Constraint Repair, Exemplar Giving, Surprise Harvest)?</w:t>
      </w:r>
    </w:p>
    <w:p w14:paraId="008995B6">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5CA70A74">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RQ2:</w:t>
      </w:r>
      <w:r>
        <w:rPr>
          <w:rFonts w:hint="default" w:ascii="Times New Roman" w:hAnsi="Times New Roman" w:eastAsia="Calibri" w:cs="Times New Roman"/>
          <w:color w:val="000000"/>
          <w:kern w:val="0"/>
          <w:sz w:val="28"/>
          <w:szCs w:val="28"/>
          <w:lang w:val="en-US" w:eastAsia="zh-CN" w:bidi="ar"/>
        </w:rPr>
        <w:t> How do these interaction types, particularly Surprise Harvest, influence L2 learners' authorship perception and creative satisfaction?</w:t>
      </w:r>
    </w:p>
    <w:p w14:paraId="40FB3CE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7D513AC5">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RQ3:</w:t>
      </w:r>
      <w:r>
        <w:rPr>
          <w:rFonts w:hint="default" w:ascii="Times New Roman" w:hAnsi="Times New Roman" w:eastAsia="Calibri" w:cs="Times New Roman"/>
          <w:color w:val="000000"/>
          <w:kern w:val="0"/>
          <w:sz w:val="28"/>
          <w:szCs w:val="28"/>
          <w:lang w:val="en-US" w:eastAsia="zh-CN" w:bidi="ar"/>
        </w:rPr>
        <w:t> What are the pedagogical implications of parameter choices for fostering L2 creative agency and motivation?</w:t>
      </w:r>
    </w:p>
    <w:p w14:paraId="0BFD942D">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7EE4247A">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Session 1 (November 2024, 10 participants) provides initial evidence that parameter choices systematically influence interaction type distribution. The study contributes by bridging the parameter-pedagogy gap, validating findings through unaware control conditions, and developing a three-interaction-types framework linking technical parameters to pedagogical outcomes.</w:t>
      </w:r>
    </w:p>
    <w:p w14:paraId="7CA650F9">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p>
    <w:p w14:paraId="51DAFB9B">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4"/>
          <w:szCs w:val="24"/>
          <w:lang w:val="en-US" w:eastAsia="zh-CN" w:bidi="ar"/>
        </w:rPr>
      </w:pPr>
    </w:p>
    <w:p w14:paraId="52EE8E41">
      <w:pPr>
        <w:keepNext w:val="0"/>
        <w:keepLines w:val="0"/>
        <w:widowControl/>
        <w:suppressLineNumbers w:val="0"/>
        <w:spacing w:line="143" w:lineRule="atLeast"/>
        <w:jc w:val="left"/>
        <w:rPr>
          <w:rFonts w:hint="default" w:ascii="Times New Roman" w:hAnsi="Times New Roman" w:eastAsia="Calibri" w:cs="Times New Roman"/>
          <w:b/>
          <w:bCs/>
          <w:color w:val="000000"/>
          <w:kern w:val="0"/>
          <w:sz w:val="24"/>
          <w:szCs w:val="24"/>
          <w:lang w:val="en-US" w:eastAsia="zh-CN" w:bidi="ar"/>
        </w:rPr>
      </w:pPr>
    </w:p>
    <w:p w14:paraId="1B4C433E">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4"/>
          <w:szCs w:val="24"/>
          <w:lang w:val="en-US" w:eastAsia="zh-CN" w:bidi="ar"/>
        </w:rPr>
        <w:t xml:space="preserve"> </w:t>
      </w:r>
      <w:r>
        <w:rPr>
          <w:rFonts w:hint="default" w:ascii="Times New Roman" w:hAnsi="Times New Roman" w:eastAsia="Calibri" w:cs="Times New Roman"/>
          <w:b/>
          <w:bCs/>
          <w:color w:val="000000"/>
          <w:kern w:val="0"/>
          <w:sz w:val="28"/>
          <w:szCs w:val="28"/>
          <w:lang w:val="en-US" w:eastAsia="zh-CN" w:bidi="ar"/>
        </w:rPr>
        <w:t>2. Research Design and Implementation Status</w:t>
      </w:r>
    </w:p>
    <w:p w14:paraId="22EBB891">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4CCC619A">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2.1 Platform and Experimental Design</w:t>
      </w:r>
    </w:p>
    <w:p w14:paraId="2137797F">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6F04CCA6">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A custom web-based platform (poetry.aitutor.ink) enables systematic investigation of parameter effects through a 2×2 factorial design: </w:t>
      </w:r>
      <w:r>
        <w:rPr>
          <w:rFonts w:hint="default" w:ascii="Times New Roman" w:hAnsi="Times New Roman" w:eastAsia="Calibri" w:cs="Times New Roman"/>
          <w:b/>
          <w:bCs/>
          <w:color w:val="000000"/>
          <w:kern w:val="0"/>
          <w:sz w:val="28"/>
          <w:szCs w:val="28"/>
          <w:lang w:val="en-US" w:eastAsia="zh-CN" w:bidi="ar"/>
        </w:rPr>
        <w:t>Parameter Configuration</w:t>
      </w:r>
      <w:r>
        <w:rPr>
          <w:rFonts w:hint="default" w:ascii="Times New Roman" w:hAnsi="Times New Roman" w:eastAsia="Calibri" w:cs="Times New Roman"/>
          <w:color w:val="000000"/>
          <w:kern w:val="0"/>
          <w:sz w:val="28"/>
          <w:szCs w:val="28"/>
          <w:lang w:val="en-US" w:eastAsia="zh-CN" w:bidi="ar"/>
        </w:rPr>
        <w:t xml:space="preserve"> (Structured: temp=0.3, top-p=0.4 vs. Exploratory: temp=0.8, top-p=0.9) × </w:t>
      </w:r>
      <w:r>
        <w:rPr>
          <w:rFonts w:hint="default" w:ascii="Times New Roman" w:hAnsi="Times New Roman" w:eastAsia="Calibri" w:cs="Times New Roman"/>
          <w:b/>
          <w:bCs/>
          <w:color w:val="000000"/>
          <w:kern w:val="0"/>
          <w:sz w:val="28"/>
          <w:szCs w:val="28"/>
          <w:lang w:val="en-US" w:eastAsia="zh-CN" w:bidi="ar"/>
        </w:rPr>
        <w:t>Awareness Condition</w:t>
      </w:r>
      <w:r>
        <w:rPr>
          <w:rFonts w:hint="default" w:ascii="Times New Roman" w:hAnsi="Times New Roman" w:eastAsia="Calibri" w:cs="Times New Roman"/>
          <w:color w:val="000000"/>
          <w:kern w:val="0"/>
          <w:sz w:val="28"/>
          <w:szCs w:val="28"/>
          <w:lang w:val="en-US" w:eastAsia="zh-CN" w:bidi="ar"/>
        </w:rPr>
        <w:t> (Aware vs. Unaware). Four rooms (A: Structured-Aware; B: Structured-Unaware; C: Exploratory-Aware; D: Exploratory-Unaware) employ identical system prompts with only parameters varied, ensuring observed differences reflect genuine parameter effects.</w:t>
      </w:r>
    </w:p>
    <w:p w14:paraId="6A1C7A2E">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0EA5D8CF">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2.3 Data Collection</w:t>
      </w:r>
    </w:p>
    <w:p w14:paraId="619DE86C">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76B55381">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eastAsia" w:ascii="Times New Roman" w:hAnsi="Times New Roman" w:eastAsia="Calibri" w:cs="Times New Roman"/>
          <w:color w:val="000000"/>
          <w:kern w:val="0"/>
          <w:sz w:val="28"/>
          <w:szCs w:val="28"/>
          <w:lang w:val="en-US" w:eastAsia="zh-CN" w:bidi="ar"/>
        </w:rPr>
        <w:t>We traces t</w:t>
      </w:r>
      <w:r>
        <w:rPr>
          <w:rFonts w:hint="default" w:ascii="Times New Roman" w:hAnsi="Times New Roman" w:eastAsia="Calibri" w:cs="Times New Roman"/>
          <w:color w:val="000000"/>
          <w:kern w:val="0"/>
          <w:sz w:val="28"/>
          <w:szCs w:val="28"/>
          <w:lang w:val="en-US" w:eastAsia="zh-CN" w:bidi="ar"/>
        </w:rPr>
        <w:t>hree data sources</w:t>
      </w:r>
      <w:r>
        <w:rPr>
          <w:rFonts w:hint="eastAsia" w:ascii="Times New Roman" w:hAnsi="Times New Roman" w:eastAsia="Calibri" w:cs="Times New Roman"/>
          <w:color w:val="000000"/>
          <w:kern w:val="0"/>
          <w:sz w:val="28"/>
          <w:szCs w:val="28"/>
          <w:lang w:val="en-US" w:eastAsia="zh-CN" w:bidi="ar"/>
        </w:rPr>
        <w:t xml:space="preserve"> throughout the experiment</w:t>
      </w:r>
      <w:r>
        <w:rPr>
          <w:rFonts w:hint="default" w:ascii="Times New Roman" w:hAnsi="Times New Roman" w:eastAsia="Calibri" w:cs="Times New Roman"/>
          <w:color w:val="000000"/>
          <w:kern w:val="0"/>
          <w:sz w:val="28"/>
          <w:szCs w:val="28"/>
          <w:lang w:val="en-US" w:eastAsia="zh-CN" w:bidi="ar"/>
        </w:rPr>
        <w:t xml:space="preserve">: (1) </w:t>
      </w:r>
      <w:r>
        <w:rPr>
          <w:rFonts w:hint="default" w:ascii="Times New Roman" w:hAnsi="Times New Roman" w:eastAsia="Calibri" w:cs="Times New Roman"/>
          <w:b/>
          <w:bCs/>
          <w:color w:val="000000"/>
          <w:kern w:val="0"/>
          <w:sz w:val="28"/>
          <w:szCs w:val="28"/>
          <w:lang w:val="en-US" w:eastAsia="zh-CN" w:bidi="ar"/>
        </w:rPr>
        <w:t>Chat transcripts</w:t>
      </w:r>
      <w:r>
        <w:rPr>
          <w:rFonts w:hint="default" w:ascii="Times New Roman" w:hAnsi="Times New Roman" w:eastAsia="Calibri" w:cs="Times New Roman"/>
          <w:color w:val="000000"/>
          <w:kern w:val="0"/>
          <w:sz w:val="28"/>
          <w:szCs w:val="28"/>
          <w:lang w:val="en-US" w:eastAsia="zh-CN" w:bidi="ar"/>
        </w:rPr>
        <w:t>—</w:t>
      </w:r>
      <w:r>
        <w:rPr>
          <w:rFonts w:hint="eastAsia" w:ascii="Times New Roman" w:hAnsi="Times New Roman" w:eastAsia="Calibri" w:cs="Times New Roman"/>
          <w:color w:val="000000"/>
          <w:kern w:val="0"/>
          <w:sz w:val="28"/>
          <w:szCs w:val="28"/>
          <w:lang w:val="en-US" w:eastAsia="zh-CN" w:bidi="ar"/>
        </w:rPr>
        <w:t>interactional</w:t>
      </w:r>
      <w:r>
        <w:rPr>
          <w:rFonts w:hint="default" w:ascii="Times New Roman" w:hAnsi="Times New Roman" w:eastAsia="Calibri" w:cs="Times New Roman"/>
          <w:color w:val="000000"/>
          <w:kern w:val="0"/>
          <w:sz w:val="28"/>
          <w:szCs w:val="28"/>
          <w:lang w:val="en-US" w:eastAsia="zh-CN" w:bidi="ar"/>
        </w:rPr>
        <w:t xml:space="preserve"> patterns; (2) </w:t>
      </w:r>
      <w:r>
        <w:rPr>
          <w:rFonts w:hint="default" w:ascii="Times New Roman" w:hAnsi="Times New Roman" w:eastAsia="Calibri" w:cs="Times New Roman"/>
          <w:b/>
          <w:bCs/>
          <w:color w:val="000000"/>
          <w:kern w:val="0"/>
          <w:sz w:val="28"/>
          <w:szCs w:val="28"/>
          <w:lang w:val="en-US" w:eastAsia="zh-CN" w:bidi="ar"/>
        </w:rPr>
        <w:t>Panel discussion</w:t>
      </w:r>
      <w:r>
        <w:rPr>
          <w:rFonts w:hint="default" w:ascii="Times New Roman" w:hAnsi="Times New Roman" w:eastAsia="Calibri" w:cs="Times New Roman"/>
          <w:color w:val="000000"/>
          <w:kern w:val="0"/>
          <w:sz w:val="28"/>
          <w:szCs w:val="28"/>
          <w:lang w:val="en-US" w:eastAsia="zh-CN" w:bidi="ar"/>
        </w:rPr>
        <w:t>—spontaneous reflection</w:t>
      </w:r>
      <w:r>
        <w:rPr>
          <w:rFonts w:hint="eastAsia" w:ascii="Times New Roman" w:hAnsi="Times New Roman" w:eastAsia="Calibri" w:cs="Times New Roman"/>
          <w:color w:val="000000"/>
          <w:kern w:val="0"/>
          <w:sz w:val="28"/>
          <w:szCs w:val="28"/>
          <w:lang w:val="en-US" w:eastAsia="zh-CN" w:bidi="ar"/>
        </w:rPr>
        <w:t xml:space="preserve"> from participants</w:t>
      </w:r>
      <w:r>
        <w:rPr>
          <w:rFonts w:hint="default" w:ascii="Times New Roman" w:hAnsi="Times New Roman" w:eastAsia="Calibri" w:cs="Times New Roman"/>
          <w:color w:val="000000"/>
          <w:kern w:val="0"/>
          <w:sz w:val="28"/>
          <w:szCs w:val="28"/>
          <w:lang w:val="en-US" w:eastAsia="zh-CN" w:bidi="ar"/>
        </w:rPr>
        <w:t xml:space="preserve">; (3) </w:t>
      </w:r>
      <w:r>
        <w:rPr>
          <w:rFonts w:hint="default" w:ascii="Times New Roman" w:hAnsi="Times New Roman" w:eastAsia="Calibri" w:cs="Times New Roman"/>
          <w:b/>
          <w:bCs/>
          <w:color w:val="000000"/>
          <w:kern w:val="0"/>
          <w:sz w:val="28"/>
          <w:szCs w:val="28"/>
          <w:lang w:val="en-US" w:eastAsia="zh-CN" w:bidi="ar"/>
        </w:rPr>
        <w:t>Feedback template</w:t>
      </w:r>
      <w:r>
        <w:rPr>
          <w:rFonts w:hint="default" w:ascii="Times New Roman" w:hAnsi="Times New Roman" w:eastAsia="Calibri" w:cs="Times New Roman"/>
          <w:color w:val="000000"/>
          <w:kern w:val="0"/>
          <w:sz w:val="28"/>
          <w:szCs w:val="28"/>
          <w:lang w:val="en-US" w:eastAsia="zh-CN" w:bidi="ar"/>
        </w:rPr>
        <w:t>—systematic measurement of authorship, satisfaction, and interaction type preferences.</w:t>
      </w:r>
    </w:p>
    <w:p w14:paraId="28DCE585">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3F218D57">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0D33222C">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 xml:space="preserve"> 3. Preliminary Findings from Session 1</w:t>
      </w:r>
    </w:p>
    <w:p w14:paraId="490C7B1C">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3CEB4CA4">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3.1 Finding 1: Parameter Settings Systematically Affect Interaction Type Distribution</w:t>
      </w:r>
    </w:p>
    <w:p w14:paraId="04F541F3">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61155E27">
      <w:pPr>
        <w:keepNext w:val="0"/>
        <w:keepLines w:val="0"/>
        <w:widowControl/>
        <w:suppressLineNumbers w:val="0"/>
        <w:spacing w:line="143" w:lineRule="atLeast"/>
        <w:jc w:val="both"/>
        <w:rPr>
          <w:rFonts w:hint="default" w:ascii="Times New Roman" w:hAnsi="Times New Roman" w:eastAsia="微软雅黑 Light" w:cs="Times New Roman"/>
          <w:color w:val="000000"/>
          <w:sz w:val="28"/>
          <w:szCs w:val="28"/>
        </w:rPr>
      </w:pPr>
      <w:r>
        <w:rPr>
          <w:rFonts w:hint="eastAsia" w:ascii="Times New Roman" w:hAnsi="Times New Roman" w:eastAsia="宋体" w:cs="Times New Roman"/>
          <w:b w:val="0"/>
          <w:bCs w:val="0"/>
          <w:color w:val="000000"/>
          <w:sz w:val="28"/>
          <w:szCs w:val="28"/>
          <w:lang w:val="en-US" w:eastAsia="zh-CN"/>
        </w:rPr>
        <w:t xml:space="preserve">  </w:t>
      </w:r>
      <w:r>
        <w:rPr>
          <w:rFonts w:hint="default" w:ascii="Times New Roman" w:hAnsi="Times New Roman" w:eastAsia="微软雅黑 Light" w:cs="Times New Roman"/>
          <w:b w:val="0"/>
          <w:bCs w:val="0"/>
          <w:color w:val="000000"/>
          <w:sz w:val="28"/>
          <w:szCs w:val="28"/>
          <w:lang w:val="en-US" w:eastAsia="zh-CN"/>
        </w:rPr>
        <w:t xml:space="preserve"> </w:t>
      </w:r>
      <w:r>
        <w:rPr>
          <w:rFonts w:hint="default" w:ascii="Times New Roman" w:hAnsi="Times New Roman" w:eastAsia="微软雅黑 Light" w:cs="Times New Roman"/>
          <w:color w:val="000000"/>
          <w:kern w:val="0"/>
          <w:sz w:val="28"/>
          <w:szCs w:val="28"/>
          <w:lang w:val="en-US" w:eastAsia="zh-CN" w:bidi="ar"/>
        </w:rPr>
        <w:t>Convergent evidence across all three data sources demonstrates that parameter configuration emerges as the primary determinant of interaction type distribution, which subsequently shapes both authorship perception and collaborative satisfaction in profound ways.</w:t>
      </w:r>
    </w:p>
    <w:p w14:paraId="1F1A8B3A">
      <w:pPr>
        <w:keepNext w:val="0"/>
        <w:keepLines w:val="0"/>
        <w:widowControl/>
        <w:suppressLineNumbers w:val="0"/>
        <w:jc w:val="both"/>
        <w:rPr>
          <w:rFonts w:hint="default" w:ascii="Times New Roman" w:hAnsi="Times New Roman" w:eastAsia="微软雅黑 Light" w:cs="Times New Roman"/>
          <w:sz w:val="28"/>
          <w:szCs w:val="28"/>
        </w:rPr>
      </w:pPr>
    </w:p>
    <w:p w14:paraId="405CE566">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微软雅黑 Light" w:cs="Times New Roman"/>
          <w:color w:val="000000"/>
          <w:kern w:val="0"/>
          <w:sz w:val="28"/>
          <w:szCs w:val="28"/>
          <w:lang w:val="en-US" w:eastAsia="zh-CN" w:bidi="ar"/>
        </w:rPr>
        <w:t>Systematic coding of chat transcripts revealed striking disparities between parameter conditions:</w:t>
      </w:r>
    </w:p>
    <w:p w14:paraId="0272E397">
      <w:pPr>
        <w:keepNext w:val="0"/>
        <w:keepLines w:val="0"/>
        <w:widowControl/>
        <w:suppressLineNumbers w:val="0"/>
        <w:spacing w:line="143" w:lineRule="atLeast"/>
        <w:ind w:firstLine="420" w:firstLineChars="200"/>
        <w:jc w:val="both"/>
      </w:pPr>
      <w:r>
        <w:drawing>
          <wp:inline distT="0" distB="0" distL="114300" distR="114300">
            <wp:extent cx="5271135" cy="3220720"/>
            <wp:effectExtent l="0" t="0" r="571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3220720"/>
                    </a:xfrm>
                    <a:prstGeom prst="rect">
                      <a:avLst/>
                    </a:prstGeom>
                    <a:noFill/>
                    <a:ln>
                      <a:noFill/>
                    </a:ln>
                  </pic:spPr>
                </pic:pic>
              </a:graphicData>
            </a:graphic>
          </wp:inline>
        </w:drawing>
      </w:r>
    </w:p>
    <w:p w14:paraId="025900B7">
      <w:pPr>
        <w:keepNext w:val="0"/>
        <w:keepLines w:val="0"/>
        <w:widowControl/>
        <w:suppressLineNumbers w:val="0"/>
        <w:spacing w:line="143" w:lineRule="atLeast"/>
        <w:ind w:firstLine="480" w:firstLineChars="200"/>
        <w:jc w:val="both"/>
      </w:pPr>
      <w:r>
        <w:rPr>
          <w:rFonts w:hint="default" w:ascii="Times New Roman" w:hAnsi="Times New Roman" w:eastAsia="宋体" w:cs="Times New Roman"/>
          <w:sz w:val="24"/>
          <w:szCs w:val="24"/>
          <w:lang w:val="en-US" w:eastAsia="zh-CN"/>
        </w:rPr>
        <w:t>(</w:t>
      </w:r>
      <w:r>
        <w:rPr>
          <w:rFonts w:hint="default" w:ascii="Times New Roman" w:hAnsi="Times New Roman" w:eastAsia="Calibri" w:cs="Times New Roman"/>
          <w:color w:val="000000"/>
          <w:sz w:val="24"/>
          <w:szCs w:val="24"/>
        </w:rPr>
        <w:t xml:space="preserve">Figure </w:t>
      </w:r>
      <w:r>
        <w:rPr>
          <w:rFonts w:hint="default" w:ascii="Times New Roman" w:hAnsi="Times New Roman" w:eastAsia="宋体" w:cs="Times New Roman"/>
          <w:color w:val="000000"/>
          <w:sz w:val="24"/>
          <w:szCs w:val="24"/>
          <w:lang w:val="en-US" w:eastAsia="zh-CN"/>
        </w:rPr>
        <w:t>2</w:t>
      </w:r>
      <w:r>
        <w:rPr>
          <w:rFonts w:hint="default" w:ascii="Times New Roman" w:hAnsi="Times New Roman" w:eastAsia="Calibri" w:cs="Times New Roman"/>
          <w:color w:val="000000"/>
          <w:sz w:val="24"/>
          <w:szCs w:val="24"/>
        </w:rPr>
        <w:t>: Interaction Type Distribution by Parameter Configuration</w:t>
      </w:r>
      <w:r>
        <w:rPr>
          <w:rFonts w:hint="default" w:ascii="Times New Roman" w:hAnsi="Times New Roman" w:eastAsia="宋体" w:cs="Times New Roman"/>
          <w:sz w:val="24"/>
          <w:szCs w:val="24"/>
          <w:lang w:val="en-US" w:eastAsia="zh-CN"/>
        </w:rPr>
        <w:t>)</w:t>
      </w:r>
      <w:r>
        <w:rPr>
          <w:rFonts w:ascii="宋体" w:hAnsi="宋体" w:eastAsia="宋体" w:cs="宋体"/>
          <w:kern w:val="0"/>
          <w:sz w:val="24"/>
          <w:szCs w:val="24"/>
          <w:lang w:val="en-US" w:eastAsia="zh-CN" w:bidi="ar"/>
        </w:rPr>
        <w:br w:type="textWrapping"/>
      </w:r>
    </w:p>
    <w:p w14:paraId="012F1D46">
      <w:pPr>
        <w:keepNext w:val="0"/>
        <w:keepLines w:val="0"/>
        <w:widowControl/>
        <w:suppressLineNumbers w:val="0"/>
        <w:spacing w:line="143" w:lineRule="atLeast"/>
        <w:ind w:firstLine="480" w:firstLineChars="200"/>
        <w:jc w:val="both"/>
        <w:rPr>
          <w:rFonts w:ascii="Calibri" w:hAnsi="Calibri" w:eastAsia="Calibri" w:cs="Calibri"/>
          <w:i/>
          <w:iCs/>
          <w:color w:val="000000"/>
          <w:sz w:val="24"/>
          <w:szCs w:val="24"/>
        </w:rPr>
      </w:pPr>
    </w:p>
    <w:p w14:paraId="64BBEFEE">
      <w:pPr>
        <w:keepNext w:val="0"/>
        <w:keepLines w:val="0"/>
        <w:widowControl/>
        <w:suppressLineNumbers w:val="0"/>
        <w:spacing w:line="143" w:lineRule="atLeast"/>
        <w:ind w:firstLine="560" w:firstLineChars="200"/>
        <w:jc w:val="both"/>
        <w:rPr>
          <w:rFonts w:hint="default" w:ascii="Times New Roman" w:hAnsi="Times New Roman" w:eastAsia="微软雅黑 Light" w:cs="Times New Roman"/>
          <w:i/>
          <w:iCs/>
          <w:color w:val="000000"/>
          <w:sz w:val="28"/>
          <w:szCs w:val="28"/>
          <w:lang w:val="en-US" w:eastAsia="zh-CN"/>
        </w:rPr>
      </w:pPr>
      <w:r>
        <w:rPr>
          <w:rFonts w:hint="default" w:ascii="Times New Roman" w:hAnsi="Times New Roman" w:eastAsia="微软雅黑 Light" w:cs="Times New Roman"/>
          <w:color w:val="000000"/>
          <w:sz w:val="28"/>
          <w:szCs w:val="28"/>
        </w:rPr>
        <w:t xml:space="preserve">The data illustrates a remarkable pattern: high-temperature settings generated Type C interactions at </w:t>
      </w:r>
      <w:r>
        <w:rPr>
          <w:rFonts w:hint="default" w:ascii="Times New Roman" w:hAnsi="Times New Roman" w:eastAsia="微软雅黑 Light" w:cs="Times New Roman"/>
          <w:b/>
          <w:bCs/>
          <w:color w:val="000000"/>
          <w:sz w:val="28"/>
          <w:szCs w:val="28"/>
        </w:rPr>
        <w:t>seven times the rate</w:t>
      </w:r>
      <w:r>
        <w:rPr>
          <w:rFonts w:hint="default" w:ascii="Times New Roman" w:hAnsi="Times New Roman" w:eastAsia="微软雅黑 Light" w:cs="Times New Roman"/>
          <w:color w:val="000000"/>
          <w:sz w:val="28"/>
          <w:szCs w:val="28"/>
        </w:rPr>
        <w:t xml:space="preserve"> of their low-temperature counterparts (35% versus 5%), while low-temperature configurations produced </w:t>
      </w:r>
      <w:r>
        <w:rPr>
          <w:rFonts w:hint="default" w:ascii="Times New Roman" w:hAnsi="Times New Roman" w:eastAsia="微软雅黑 Light" w:cs="Times New Roman"/>
          <w:b/>
          <w:bCs/>
          <w:color w:val="000000"/>
          <w:sz w:val="28"/>
          <w:szCs w:val="28"/>
        </w:rPr>
        <w:t>three times more Type A interactions</w:t>
      </w:r>
      <w:r>
        <w:rPr>
          <w:rFonts w:hint="default" w:ascii="Times New Roman" w:hAnsi="Times New Roman" w:eastAsia="微软雅黑 Light" w:cs="Times New Roman"/>
          <w:color w:val="000000"/>
          <w:sz w:val="28"/>
          <w:szCs w:val="28"/>
        </w:rPr>
        <w:t> (60% versus 20%). This sevenfold difference in Type C frequency represents a fundamental shift in the pedagogical affordances available to learners.</w:t>
      </w:r>
    </w:p>
    <w:p w14:paraId="2171C4F9">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微软雅黑 Light" w:cs="Times New Roman"/>
          <w:color w:val="000000"/>
          <w:sz w:val="28"/>
          <w:szCs w:val="28"/>
          <w:lang w:val="en-US" w:eastAsia="zh-CN"/>
        </w:rPr>
        <w:t xml:space="preserve">  </w:t>
      </w:r>
      <w:r>
        <w:rPr>
          <w:rFonts w:hint="default" w:ascii="Times New Roman" w:hAnsi="Times New Roman" w:eastAsia="Calibri" w:cs="Times New Roman"/>
          <w:color w:val="000000"/>
          <w:sz w:val="28"/>
          <w:szCs w:val="28"/>
        </w:rPr>
        <w:t>Participant</w:t>
      </w:r>
      <w:r>
        <w:rPr>
          <w:rFonts w:hint="eastAsia" w:ascii="Times New Roman" w:hAnsi="Times New Roman" w:eastAsia="宋体" w:cs="Times New Roman"/>
          <w:color w:val="000000"/>
          <w:sz w:val="28"/>
          <w:szCs w:val="28"/>
          <w:lang w:val="en-US" w:eastAsia="zh-CN"/>
        </w:rPr>
        <w:t>s</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 spontaneous descriptions during the panel discussion aligned precisely with these quantitative patterns. A Room B participant articulated the low-temperature experience: </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It gave me two or three options every time... I just chose,</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 explicitly describing Type B dominance. Another noted, </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Very structured even though I didn't go in with a structured idea,</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 capturing the prevalence of Type A constraint-focused interactions.</w:t>
      </w:r>
    </w:p>
    <w:p w14:paraId="2D221754">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宋体" w:cs="Times New Roman"/>
          <w:color w:val="000000"/>
          <w:sz w:val="28"/>
          <w:szCs w:val="28"/>
          <w:lang w:val="en-US" w:eastAsia="zh-CN"/>
        </w:rPr>
        <w:t>T</w:t>
      </w:r>
      <w:r>
        <w:rPr>
          <w:rFonts w:hint="default" w:ascii="Times New Roman" w:hAnsi="Times New Roman" w:eastAsia="Calibri" w:cs="Times New Roman"/>
          <w:color w:val="000000"/>
          <w:sz w:val="28"/>
          <w:szCs w:val="28"/>
        </w:rPr>
        <w:t xml:space="preserve">he contrast with high-temperature experiences proved equally striking. While a Room B participant lamented, </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I couldn</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t feel any sort of creativity,</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 a Room C participant characterized the AI as </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warm-hearted... like a very good friend.</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 This language difference—mechanical versus relational—suggests fundamentally different collaborative modes: co-creation versus option selection.</w:t>
      </w:r>
    </w:p>
    <w:p w14:paraId="1DE98886">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p>
    <w:p w14:paraId="4A6733D5">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Authorship and Satisfaction Outcomes:</w:t>
      </w:r>
    </w:p>
    <w:p w14:paraId="71821732">
      <w:pPr>
        <w:keepNext w:val="0"/>
        <w:keepLines w:val="0"/>
        <w:widowControl/>
        <w:suppressLineNumbers w:val="0"/>
        <w:spacing w:line="143" w:lineRule="atLeast"/>
        <w:jc w:val="both"/>
      </w:pPr>
      <w:r>
        <w:br w:type="textWrapping"/>
      </w:r>
    </w:p>
    <w:p w14:paraId="3C3277A1">
      <w:pPr>
        <w:keepNext w:val="0"/>
        <w:keepLines w:val="0"/>
        <w:widowControl/>
        <w:suppressLineNumbers w:val="0"/>
        <w:spacing w:line="143" w:lineRule="atLeast"/>
        <w:jc w:val="both"/>
        <w:rPr>
          <w:rFonts w:hint="default" w:ascii="Calibri" w:hAnsi="Calibri" w:eastAsia="Calibri" w:cs="Calibri"/>
          <w:color w:val="000000"/>
          <w:sz w:val="24"/>
          <w:szCs w:val="24"/>
        </w:rPr>
      </w:pPr>
    </w:p>
    <w:p w14:paraId="2BCA43F1">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The authorship data reveals a </w:t>
      </w:r>
      <w:r>
        <w:rPr>
          <w:rFonts w:hint="default" w:ascii="Times New Roman" w:hAnsi="Times New Roman" w:eastAsia="Calibri" w:cs="Times New Roman"/>
          <w:b/>
          <w:bCs/>
          <w:color w:val="000000"/>
          <w:kern w:val="0"/>
          <w:sz w:val="28"/>
          <w:szCs w:val="28"/>
          <w:lang w:val="en-US" w:eastAsia="zh-CN" w:bidi="ar"/>
        </w:rPr>
        <w:t xml:space="preserve">sixfold difference </w:t>
      </w:r>
      <w:r>
        <w:rPr>
          <w:rFonts w:hint="default" w:ascii="Times New Roman" w:hAnsi="Times New Roman" w:eastAsia="Calibri" w:cs="Times New Roman"/>
          <w:color w:val="000000"/>
          <w:kern w:val="0"/>
          <w:sz w:val="28"/>
          <w:szCs w:val="28"/>
          <w:lang w:val="en-US" w:eastAsia="zh-CN" w:bidi="ar"/>
        </w:rPr>
        <w:t xml:space="preserve">in self-perceived authorship (10-20% versus 62.5%) and a </w:t>
      </w:r>
      <w:r>
        <w:rPr>
          <w:rFonts w:hint="default" w:ascii="Times New Roman" w:hAnsi="Times New Roman" w:eastAsia="Calibri" w:cs="Times New Roman"/>
          <w:b/>
          <w:bCs/>
          <w:color w:val="000000"/>
          <w:kern w:val="0"/>
          <w:sz w:val="28"/>
          <w:szCs w:val="28"/>
          <w:lang w:val="en-US" w:eastAsia="zh-CN" w:bidi="ar"/>
        </w:rPr>
        <w:t xml:space="preserve">90% satisfaction gap </w:t>
      </w:r>
      <w:r>
        <w:rPr>
          <w:rFonts w:hint="default" w:ascii="Times New Roman" w:hAnsi="Times New Roman" w:eastAsia="Calibri" w:cs="Times New Roman"/>
          <w:color w:val="000000"/>
          <w:kern w:val="0"/>
          <w:sz w:val="28"/>
          <w:szCs w:val="28"/>
          <w:lang w:val="en-US" w:eastAsia="zh-CN" w:bidi="ar"/>
        </w:rPr>
        <w:t>(2.0/5 versus 4.75/5) directly attributable to parameter configuration.</w:t>
      </w:r>
    </w:p>
    <w:p w14:paraId="310C8166">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p>
    <w:p w14:paraId="46488A9F">
      <w:pPr>
        <w:keepNext w:val="0"/>
        <w:keepLines w:val="0"/>
        <w:widowControl/>
        <w:suppressLineNumbers w:val="0"/>
        <w:spacing w:line="143" w:lineRule="atLeast"/>
        <w:ind w:firstLine="420" w:firstLineChars="200"/>
        <w:jc w:val="both"/>
        <w:rPr>
          <w:rFonts w:hint="default" w:ascii="Times New Roman" w:hAnsi="Times New Roman" w:eastAsia="Calibri" w:cs="Times New Roman"/>
          <w:color w:val="000000"/>
          <w:kern w:val="0"/>
          <w:sz w:val="28"/>
          <w:szCs w:val="28"/>
          <w:lang w:val="en-US" w:eastAsia="zh-CN" w:bidi="ar"/>
        </w:rPr>
      </w:pPr>
      <w:r>
        <w:drawing>
          <wp:inline distT="0" distB="0" distL="114300" distR="114300">
            <wp:extent cx="5262245" cy="3316605"/>
            <wp:effectExtent l="0" t="0" r="508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2245" cy="3316605"/>
                    </a:xfrm>
                    <a:prstGeom prst="rect">
                      <a:avLst/>
                    </a:prstGeom>
                    <a:noFill/>
                    <a:ln>
                      <a:noFill/>
                    </a:ln>
                  </pic:spPr>
                </pic:pic>
              </a:graphicData>
            </a:graphic>
          </wp:inline>
        </w:drawing>
      </w:r>
    </w:p>
    <w:p w14:paraId="3AA1DEBD">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p>
    <w:p w14:paraId="75B8D507">
      <w:pPr>
        <w:keepNext w:val="0"/>
        <w:keepLines w:val="0"/>
        <w:widowControl/>
        <w:suppressLineNumbers w:val="0"/>
        <w:spacing w:line="143" w:lineRule="atLeast"/>
        <w:jc w:val="both"/>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default" w:ascii="Times New Roman" w:hAnsi="Times New Roman" w:eastAsia="Calibri" w:cs="Times New Roman"/>
          <w:color w:val="000000"/>
          <w:sz w:val="24"/>
          <w:szCs w:val="24"/>
        </w:rPr>
        <w:t>Figure 2: Authorship and Satisfaction by Parameter Configuration</w:t>
      </w:r>
      <w:r>
        <w:rPr>
          <w:rFonts w:hint="eastAsia" w:ascii="Times New Roman" w:hAnsi="Times New Roman" w:eastAsia="宋体" w:cs="Times New Roman"/>
          <w:color w:val="000000"/>
          <w:sz w:val="24"/>
          <w:szCs w:val="24"/>
          <w:lang w:val="en-US" w:eastAsia="zh-CN"/>
        </w:rPr>
        <w:t>)</w:t>
      </w:r>
    </w:p>
    <w:p w14:paraId="1AF83D4D">
      <w:pPr>
        <w:keepNext w:val="0"/>
        <w:keepLines w:val="0"/>
        <w:widowControl/>
        <w:suppressLineNumbers w:val="0"/>
        <w:spacing w:line="143" w:lineRule="atLeast"/>
        <w:jc w:val="both"/>
        <w:rPr>
          <w:rFonts w:hint="eastAsia" w:ascii="Times New Roman" w:hAnsi="Times New Roman" w:eastAsia="宋体" w:cs="Times New Roman"/>
          <w:color w:val="000000"/>
          <w:sz w:val="24"/>
          <w:szCs w:val="24"/>
          <w:lang w:val="en-US" w:eastAsia="zh-CN"/>
        </w:rPr>
      </w:pPr>
    </w:p>
    <w:p w14:paraId="734D1810">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A Room B participant’s written reflection crystallizes the authorship paradox: “I do not feel ownership... other than the last line I wrote myself.” Despite making hundreds of selection decisions throughout the session, this participant claimed authorship only for independently generated content. This profound observation suggests that </w:t>
      </w:r>
      <w:r>
        <w:rPr>
          <w:rFonts w:hint="default" w:ascii="Times New Roman" w:hAnsi="Times New Roman" w:eastAsia="Calibri" w:cs="Times New Roman"/>
          <w:b/>
          <w:bCs/>
          <w:color w:val="000000"/>
          <w:kern w:val="0"/>
          <w:sz w:val="28"/>
          <w:szCs w:val="28"/>
          <w:lang w:val="en-US" w:eastAsia="zh-CN" w:bidi="ar"/>
        </w:rPr>
        <w:t>selection among AI-provided options does not constitute authorship</w:t>
      </w:r>
      <w:r>
        <w:rPr>
          <w:rFonts w:hint="default" w:ascii="Times New Roman" w:hAnsi="Times New Roman" w:eastAsia="Calibri" w:cs="Times New Roman"/>
          <w:color w:val="000000"/>
          <w:kern w:val="0"/>
          <w:sz w:val="28"/>
          <w:szCs w:val="28"/>
          <w:lang w:val="en-US" w:eastAsia="zh-CN" w:bidi="ar"/>
        </w:rPr>
        <w:t> in learners’ phenomenological experience—a finding with significant implications for AI-assisted creative writing pedagogy.</w:t>
      </w:r>
    </w:p>
    <w:p w14:paraId="5ACFBAD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00DBCA73">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 xml:space="preserve"> 3.2 Finding 2: Type B Creates “Helpful but Alienating” Paradox</w:t>
      </w:r>
    </w:p>
    <w:p w14:paraId="1B035525">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296499AA">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Analysis of feedback forms unveiled a fundamental pedagogical tension: while 75% of participants rated Type B (Exemplar Giving) interactions as most helpful, Room B—which experienced 35% Type B interactions—reported merely 10% self-authorship. This paradox reveals a critical disconnect between perceived usefulness and authentic creative agency.</w:t>
      </w:r>
    </w:p>
    <w:p w14:paraId="3A62C642">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7BCE6A3E">
      <w:pPr>
        <w:keepNext w:val="0"/>
        <w:keepLines w:val="0"/>
        <w:widowControl/>
        <w:suppressLineNumbers w:val="0"/>
        <w:spacing w:line="143" w:lineRule="atLeast"/>
        <w:ind w:firstLine="280" w:firstLineChars="1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A Room B participant articulated this tension poignantly: “It felt more true and emotional before the AI. After it became more formulaic and didn’t really capture it... good poem in the traditional sense, but I wish it was less structurally rigid.”</w:t>
      </w:r>
      <w:r>
        <w:rPr>
          <w:rFonts w:hint="eastAsia" w:ascii="Times New Roman" w:hAnsi="Times New Roman" w:eastAsia="Calibri" w:cs="Times New Roman"/>
          <w:b w:val="0"/>
          <w:bCs w:val="0"/>
          <w:color w:val="000000"/>
          <w:kern w:val="0"/>
          <w:sz w:val="28"/>
          <w:szCs w:val="28"/>
          <w:lang w:val="en-US" w:eastAsia="zh-CN" w:bidi="ar"/>
        </w:rPr>
        <w:t xml:space="preserve"> </w:t>
      </w:r>
      <w:r>
        <w:rPr>
          <w:rFonts w:hint="default" w:ascii="Times New Roman" w:hAnsi="Times New Roman" w:eastAsia="Calibri" w:cs="Times New Roman"/>
          <w:b w:val="0"/>
          <w:bCs w:val="0"/>
          <w:color w:val="000000"/>
          <w:kern w:val="0"/>
          <w:sz w:val="28"/>
          <w:szCs w:val="28"/>
          <w:lang w:val="en-US" w:eastAsia="zh-CN" w:bidi="ar"/>
        </w:rPr>
        <w:t>This observation illuminates how Type B interactions, while pedagogically accessible and immediately satisfying, may inadvertently undermine the very creative authenticity learners seek to achieve.</w:t>
      </w:r>
    </w:p>
    <w:p w14:paraId="6A5A1D15">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1D0E6DA9">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Pedagogical Implications: The findings suggest that Type B interactions maximize immediate pedagogical comfort while simultaneously minimizing creative agency. Low-temperature parameters (0.3/0.4) generate heavy Type B concentration (35%) that participants find helpful in the moment yet ultimately alienating to their authorial identity. In contrast, high-temperature parameters (0.8/0.9) achieve a more balanced ecosystem—maintaining substantial Type B support (45%) for scaffolding while introducing significant Type C discovery opportunities (35%)—thereby enabling both structured guidance and authentic co-creation.</w:t>
      </w:r>
    </w:p>
    <w:p w14:paraId="5FC35E84">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p>
    <w:p w14:paraId="3C6286C1">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 xml:space="preserve"> 3.3 Finding 3: Type C Enables Creative Transformation</w:t>
      </w:r>
    </w:p>
    <w:p w14:paraId="169828DC">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p>
    <w:p w14:paraId="66521EEE">
      <w:pPr>
        <w:keepNext w:val="0"/>
        <w:keepLines w:val="0"/>
        <w:widowControl/>
        <w:suppressLineNumbers w:val="0"/>
        <w:spacing w:line="143" w:lineRule="atLeast"/>
        <w:jc w:val="both"/>
      </w:pPr>
      <w:r>
        <w:drawing>
          <wp:inline distT="0" distB="0" distL="114300" distR="114300">
            <wp:extent cx="5264785" cy="228600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4785" cy="2286000"/>
                    </a:xfrm>
                    <a:prstGeom prst="rect">
                      <a:avLst/>
                    </a:prstGeom>
                    <a:noFill/>
                    <a:ln>
                      <a:noFill/>
                    </a:ln>
                  </pic:spPr>
                </pic:pic>
              </a:graphicData>
            </a:graphic>
          </wp:inline>
        </w:drawing>
      </w:r>
    </w:p>
    <w:p w14:paraId="037E668B">
      <w:pPr>
        <w:keepNext w:val="0"/>
        <w:keepLines w:val="0"/>
        <w:widowControl/>
        <w:suppressLineNumbers w:val="0"/>
        <w:spacing w:line="143" w:lineRule="atLeast"/>
        <w:jc w:val="both"/>
      </w:pPr>
    </w:p>
    <w:p w14:paraId="776F4DE5">
      <w:pPr>
        <w:keepNext w:val="0"/>
        <w:keepLines w:val="0"/>
        <w:widowControl/>
        <w:suppressLineNumbers w:val="0"/>
        <w:spacing w:line="143" w:lineRule="atLeast"/>
        <w:jc w:val="both"/>
        <w:rPr>
          <w:rFonts w:hint="default" w:ascii="Times New Roman" w:hAnsi="Times New Roman" w:eastAsia="宋体" w:cs="Times New Roman"/>
          <w:color w:val="000000"/>
          <w:sz w:val="24"/>
          <w:szCs w:val="24"/>
          <w:lang w:eastAsia="zh-CN"/>
        </w:rPr>
      </w:pPr>
      <w:r>
        <w:rPr>
          <w:rFonts w:hint="default" w:ascii="Times New Roman" w:hAnsi="Times New Roman" w:eastAsia="宋体" w:cs="Times New Roman"/>
          <w:color w:val="000000"/>
          <w:sz w:val="24"/>
          <w:szCs w:val="24"/>
          <w:lang w:eastAsia="zh-CN"/>
        </w:rPr>
        <w:t>（</w:t>
      </w:r>
      <w:r>
        <w:rPr>
          <w:rFonts w:hint="default" w:ascii="Times New Roman" w:hAnsi="Times New Roman" w:eastAsia="Calibri" w:cs="Times New Roman"/>
          <w:color w:val="000000"/>
          <w:sz w:val="24"/>
          <w:szCs w:val="24"/>
        </w:rPr>
        <w:t xml:space="preserve">Figure </w:t>
      </w:r>
      <w:r>
        <w:rPr>
          <w:rFonts w:hint="default" w:ascii="Times New Roman" w:hAnsi="Times New Roman" w:eastAsia="宋体" w:cs="Times New Roman"/>
          <w:color w:val="000000"/>
          <w:sz w:val="24"/>
          <w:szCs w:val="24"/>
          <w:lang w:val="en-US" w:eastAsia="zh-CN"/>
        </w:rPr>
        <w:t>4</w:t>
      </w:r>
      <w:r>
        <w:rPr>
          <w:rFonts w:hint="default" w:ascii="Times New Roman" w:hAnsi="Times New Roman" w:eastAsia="Calibri" w:cs="Times New Roman"/>
          <w:color w:val="000000"/>
          <w:sz w:val="24"/>
          <w:szCs w:val="24"/>
        </w:rPr>
        <w:t>: Type C Presence Predicts Authorship and Satisfaction Outcome</w:t>
      </w:r>
      <w:r>
        <w:rPr>
          <w:rFonts w:hint="default" w:ascii="Times New Roman" w:hAnsi="Times New Roman" w:eastAsia="宋体" w:cs="Times New Roman"/>
          <w:color w:val="000000"/>
          <w:sz w:val="24"/>
          <w:szCs w:val="24"/>
          <w:lang w:eastAsia="zh-CN"/>
        </w:rPr>
        <w:t>）</w:t>
      </w:r>
    </w:p>
    <w:p w14:paraId="43F101F0">
      <w:pPr>
        <w:keepNext w:val="0"/>
        <w:keepLines w:val="0"/>
        <w:widowControl/>
        <w:suppressLineNumbers w:val="0"/>
        <w:spacing w:line="143" w:lineRule="atLeast"/>
        <w:jc w:val="both"/>
        <w:rPr>
          <w:rFonts w:hint="default" w:ascii="Times New Roman" w:hAnsi="Times New Roman" w:eastAsia="宋体" w:cs="Times New Roman"/>
          <w:color w:val="000000"/>
          <w:sz w:val="24"/>
          <w:szCs w:val="24"/>
          <w:lang w:eastAsia="zh-CN"/>
        </w:rPr>
      </w:pPr>
    </w:p>
    <w:p w14:paraId="7BACE731">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Analysis of high-temperature chat transcripts revealed that Type C (Surprise Harvest) interactions functioned as pivotal transformative moments in the creative process, introducing unexpected possibilities that fundamentally altered participants’ creative trajectories.</w:t>
      </w:r>
    </w:p>
    <w:p w14:paraId="207B9862">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7C1A23A4">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A</w:t>
      </w:r>
      <w:r>
        <w:rPr>
          <w:rFonts w:hint="eastAsia" w:ascii="Times New Roman" w:hAnsi="Times New Roman" w:eastAsia="Calibri" w:cs="Times New Roman"/>
          <w:b w:val="0"/>
          <w:bCs w:val="0"/>
          <w:color w:val="000000"/>
          <w:kern w:val="0"/>
          <w:sz w:val="28"/>
          <w:szCs w:val="28"/>
          <w:lang w:val="en-US" w:eastAsia="zh-CN" w:bidi="ar"/>
        </w:rPr>
        <w:t xml:space="preserve">n </w:t>
      </w:r>
      <w:r>
        <w:rPr>
          <w:rFonts w:hint="default" w:ascii="Times New Roman" w:hAnsi="Times New Roman" w:eastAsia="Calibri" w:cs="Times New Roman"/>
          <w:b w:val="0"/>
          <w:bCs w:val="0"/>
          <w:color w:val="000000"/>
          <w:kern w:val="0"/>
          <w:sz w:val="28"/>
          <w:szCs w:val="28"/>
          <w:lang w:val="en-US" w:eastAsia="zh-CN" w:bidi="ar"/>
        </w:rPr>
        <w:t>example emerged from Room C, where the AI suggested to one participant: “Would using some found aspects such as citations help highlight the gravity?” This unexpected proposition introduced the found poetry technique—an advanced literary strategy the participant had not previously considered. Rather than simply correcting or exemplifying, the AI expanded the participant’s creative repertoire through genuine surprise.</w:t>
      </w:r>
    </w:p>
    <w:p w14:paraId="7A541B4A">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68F55F99">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Another Room C participant described how “the AI reframed the entire interaction from poetry construction to therapeutic creative expression,” illustrating Type C’s capacity to transform not merely the poem but the fundamental purpose and meaning of the creative activity itself.</w:t>
      </w:r>
    </w:p>
    <w:p w14:paraId="0D0A2026">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0E7E0806">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Chat transcripts from Room B (low-temperature) contained no comparable Type C moments. Instead, interactions remained confined to predictable patterns: Type B exemplar provision (AI offering 2-4 line options such as “Here are a few options based on your dream...”) and Type A minor corrections. The absence of unexpected creative pivots resulted in qualitatively different collaborative experiences.</w:t>
      </w:r>
    </w:p>
    <w:p w14:paraId="4B02D5D8">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33699EF6">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This experiential difference manifested vividly in participants’</w:t>
      </w:r>
      <w:r>
        <w:rPr>
          <w:rFonts w:hint="eastAsia" w:ascii="Times New Roman" w:hAnsi="Times New Roman" w:eastAsia="Calibri" w:cs="Times New Roman"/>
          <w:b w:val="0"/>
          <w:bCs w:val="0"/>
          <w:color w:val="000000"/>
          <w:kern w:val="0"/>
          <w:sz w:val="28"/>
          <w:szCs w:val="28"/>
          <w:lang w:val="en-US" w:eastAsia="zh-CN" w:bidi="ar"/>
        </w:rPr>
        <w:t xml:space="preserve"> </w:t>
      </w:r>
      <w:r>
        <w:rPr>
          <w:rFonts w:hint="default" w:ascii="Times New Roman" w:hAnsi="Times New Roman" w:eastAsia="Calibri" w:cs="Times New Roman"/>
          <w:b w:val="0"/>
          <w:bCs w:val="0"/>
          <w:color w:val="000000"/>
          <w:kern w:val="0"/>
          <w:sz w:val="28"/>
          <w:szCs w:val="28"/>
          <w:lang w:val="en-US" w:eastAsia="zh-CN" w:bidi="ar"/>
        </w:rPr>
        <w:t>language during panel discussion. Room B participants characterized the AI using mechanical metaphors—</w:t>
      </w:r>
      <w:r>
        <w:rPr>
          <w:rFonts w:hint="eastAsia" w:ascii="Times New Roman" w:hAnsi="Times New Roman" w:eastAsia="Calibri" w:cs="Times New Roman"/>
          <w:b w:val="0"/>
          <w:bCs w:val="0"/>
          <w:color w:val="000000"/>
          <w:kern w:val="0"/>
          <w:sz w:val="28"/>
          <w:szCs w:val="28"/>
          <w:lang w:val="en-US" w:eastAsia="zh-CN" w:bidi="ar"/>
        </w:rPr>
        <w:t xml:space="preserve"> </w:t>
      </w:r>
      <w:r>
        <w:rPr>
          <w:rFonts w:hint="default" w:ascii="Times New Roman" w:hAnsi="Times New Roman" w:eastAsia="Calibri" w:cs="Times New Roman"/>
          <w:b w:val="0"/>
          <w:bCs w:val="0"/>
          <w:color w:val="000000"/>
          <w:kern w:val="0"/>
          <w:sz w:val="28"/>
          <w:szCs w:val="28"/>
          <w:lang w:val="en-US" w:eastAsia="zh-CN" w:bidi="ar"/>
        </w:rPr>
        <w:t>“just following instructions”—while Rooms C and D participants employed relational language</w:t>
      </w:r>
      <w:r>
        <w:rPr>
          <w:rFonts w:hint="eastAsia" w:ascii="Times New Roman" w:hAnsi="Times New Roman" w:eastAsia="Calibri" w:cs="Times New Roman"/>
          <w:b w:val="0"/>
          <w:bCs w:val="0"/>
          <w:color w:val="000000"/>
          <w:kern w:val="0"/>
          <w:sz w:val="28"/>
          <w:szCs w:val="28"/>
          <w:lang w:val="en-US" w:eastAsia="zh-CN" w:bidi="ar"/>
        </w:rPr>
        <w:t xml:space="preserve"> </w:t>
      </w:r>
      <w:r>
        <w:rPr>
          <w:rFonts w:hint="default" w:ascii="Times New Roman" w:hAnsi="Times New Roman" w:eastAsia="Calibri" w:cs="Times New Roman"/>
          <w:b w:val="0"/>
          <w:bCs w:val="0"/>
          <w:color w:val="000000"/>
          <w:kern w:val="0"/>
          <w:sz w:val="28"/>
          <w:szCs w:val="28"/>
          <w:lang w:val="en-US" w:eastAsia="zh-CN" w:bidi="ar"/>
        </w:rPr>
        <w:t>“warm-hearted,” “like a very good friend.” These contrasting metaphors reflect fundamentally different collaborative modes: technical assistant versus creative partner.</w:t>
      </w:r>
    </w:p>
    <w:p w14:paraId="5879CEA8">
      <w:pPr>
        <w:jc w:val="both"/>
        <w:rPr>
          <w:rFonts w:hint="default" w:ascii="Times New Roman" w:hAnsi="Times New Roman" w:eastAsia="Calibri" w:cs="Times New Roman"/>
          <w:color w:val="000000"/>
          <w:sz w:val="28"/>
          <w:szCs w:val="28"/>
        </w:rPr>
      </w:pPr>
    </w:p>
    <w:p w14:paraId="4D3DBDA9">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3.4 Finding 4: Interaction Type Differences Are Observable</w:t>
      </w:r>
    </w:p>
    <w:p w14:paraId="29E43B9A">
      <w:pPr>
        <w:keepNext w:val="0"/>
        <w:keepLines w:val="0"/>
        <w:widowControl/>
        <w:suppressLineNumbers w:val="0"/>
        <w:spacing w:line="143" w:lineRule="atLeast"/>
        <w:jc w:val="both"/>
      </w:pPr>
    </w:p>
    <w:p w14:paraId="47530425">
      <w:pPr>
        <w:keepNext w:val="0"/>
        <w:keepLines w:val="0"/>
        <w:widowControl/>
        <w:suppressLineNumbers w:val="0"/>
        <w:spacing w:line="143" w:lineRule="atLeast"/>
        <w:jc w:val="both"/>
        <w:rPr>
          <w:rFonts w:hint="default"/>
          <w:lang w:val="en-US" w:eastAsia="zh-CN"/>
        </w:rPr>
      </w:pPr>
    </w:p>
    <w:p w14:paraId="2ED9628F">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lang w:val="en-US"/>
        </w:rPr>
      </w:pPr>
      <w:r>
        <w:rPr>
          <w:rFonts w:hint="default" w:ascii="Times New Roman" w:hAnsi="Times New Roman" w:eastAsia="Calibri" w:cs="Times New Roman"/>
          <w:b w:val="0"/>
          <w:bCs w:val="0"/>
          <w:color w:val="000000"/>
          <w:kern w:val="0"/>
          <w:sz w:val="28"/>
          <w:szCs w:val="28"/>
          <w:lang w:val="en-US" w:eastAsia="zh-CN" w:bidi="ar"/>
        </w:rPr>
        <w:t>A particularly revealing moment of meta-awareness emerged during panel discussion when a Room B participant, despite belonging to the unaware condition, spontaneously articulated systematic differences in collaborative experiences across rooms:  “Yeah, it’s pretty obvious! Ours took our words and put it in poem form [Type B]. Whereas comparing C and D... there’s a lot of changes to the input [Type C]. For me, it only outputted exactly what I asked [no Type C]. I couldn't feel any sort of creativity.”</w:t>
      </w:r>
    </w:p>
    <w:p w14:paraId="7141DC59">
      <w:pPr>
        <w:keepNext w:val="0"/>
        <w:keepLines w:val="0"/>
        <w:widowControl/>
        <w:suppressLineNumbers w:val="0"/>
        <w:spacing w:line="143" w:lineRule="atLeast"/>
        <w:ind w:firstLine="560" w:firstLineChars="200"/>
        <w:jc w:val="both"/>
        <w:rPr>
          <w:rFonts w:hint="default" w:ascii="Times New Roman" w:hAnsi="Times New Roman" w:eastAsia="宋体" w:cs="Times New Roman"/>
          <w:b w:val="0"/>
          <w:bCs w:val="0"/>
          <w:color w:val="000000"/>
          <w:sz w:val="28"/>
          <w:szCs w:val="28"/>
          <w:lang w:val="en-US" w:eastAsia="zh-CN"/>
        </w:rPr>
      </w:pPr>
      <w:r>
        <w:rPr>
          <w:rFonts w:hint="default" w:ascii="Times New Roman" w:hAnsi="Times New Roman" w:eastAsia="Calibri" w:cs="Times New Roman"/>
          <w:color w:val="000000"/>
          <w:kern w:val="0"/>
          <w:sz w:val="28"/>
          <w:szCs w:val="28"/>
          <w:lang w:val="en-US" w:eastAsia="zh-CN" w:bidi="ar"/>
        </w:rPr>
        <w:t>This validates that parameter effects are genuine technical phenomena sufficiently salient for learners to notice, suggesting potential for explicit interaction type instruction as AI literacy.</w:t>
      </w:r>
      <w:r>
        <w:rPr>
          <w:rFonts w:hint="default" w:ascii="Times New Roman" w:hAnsi="Times New Roman" w:eastAsia="Calibri" w:cs="Times New Roman"/>
          <w:b w:val="0"/>
          <w:bCs w:val="0"/>
          <w:color w:val="000000"/>
          <w:sz w:val="28"/>
          <w:szCs w:val="28"/>
        </w:rPr>
        <w:t> The participant precisely identified Type B</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s reformulation pattern and Type C</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s transformative quality using experiential language (</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I couldn</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t feel any sort of creativity</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 that maps directly onto the theoretical framework.</w:t>
      </w:r>
    </w:p>
    <w:p w14:paraId="1E01244A">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4"/>
          <w:szCs w:val="24"/>
        </w:rPr>
      </w:pPr>
      <w:r>
        <w:rPr>
          <w:rFonts w:hint="default" w:ascii="Times New Roman" w:hAnsi="Times New Roman" w:eastAsia="宋体" w:cs="Times New Roman"/>
          <w:b w:val="0"/>
          <w:bCs w:val="0"/>
          <w:color w:val="000000"/>
          <w:sz w:val="28"/>
          <w:szCs w:val="28"/>
          <w:lang w:val="en-US" w:eastAsia="zh-CN"/>
        </w:rPr>
        <w:t>T</w:t>
      </w:r>
      <w:r>
        <w:rPr>
          <w:rFonts w:hint="default" w:ascii="Times New Roman" w:hAnsi="Times New Roman" w:eastAsia="Calibri" w:cs="Times New Roman"/>
          <w:b w:val="0"/>
          <w:bCs w:val="0"/>
          <w:color w:val="000000"/>
          <w:sz w:val="28"/>
          <w:szCs w:val="28"/>
        </w:rPr>
        <w:t xml:space="preserve">his meta-awareness validates that parameter effects manifest as genuine technical phenomena sufficiently distinct for learners to perceive, categorize, and evaluate through direct experience. This finding suggests powerful pedagogical potential: rather than requiring explicit technical instruction about temperature and top-p parameters, students might develop sophisticated </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AI literacy</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 xml:space="preserve"> by experiencing how different interaction patterns enable or constrain creative agency—learning to recognize, request, and critically evaluate interaction types for their creative goals.</w:t>
      </w:r>
    </w:p>
    <w:p w14:paraId="2DB9F555">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2A062665">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49B483B8">
      <w:pPr>
        <w:keepNext w:val="0"/>
        <w:keepLines w:val="0"/>
        <w:widowControl/>
        <w:suppressLineNumbers w:val="0"/>
        <w:spacing w:line="143" w:lineRule="atLeast"/>
        <w:jc w:val="center"/>
        <w:rPr>
          <w:rFonts w:hint="default" w:ascii="Times New Roman" w:hAnsi="Times New Roman" w:eastAsia="Calibri" w:cs="Times New Roman"/>
          <w:color w:val="000000"/>
          <w:sz w:val="28"/>
          <w:szCs w:val="28"/>
        </w:rPr>
      </w:pPr>
      <w:r>
        <w:rPr>
          <w:rFonts w:hint="eastAsia" w:ascii="Times New Roman" w:hAnsi="Times New Roman" w:eastAsia="Calibri" w:cs="Times New Roman"/>
          <w:b/>
          <w:bCs/>
          <w:color w:val="000000"/>
          <w:kern w:val="0"/>
          <w:sz w:val="28"/>
          <w:szCs w:val="28"/>
          <w:lang w:val="en-US" w:eastAsia="zh-CN" w:bidi="ar"/>
        </w:rPr>
        <w:t>Co</w:t>
      </w:r>
      <w:r>
        <w:rPr>
          <w:rFonts w:hint="default" w:ascii="Times New Roman" w:hAnsi="Times New Roman" w:eastAsia="Calibri" w:cs="Times New Roman"/>
          <w:b/>
          <w:bCs/>
          <w:color w:val="000000"/>
          <w:kern w:val="0"/>
          <w:sz w:val="28"/>
          <w:szCs w:val="28"/>
          <w:lang w:val="en-US" w:eastAsia="zh-CN" w:bidi="ar"/>
        </w:rPr>
        <w:t>nclusion</w:t>
      </w:r>
    </w:p>
    <w:p w14:paraId="4F532686">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7F02C93A">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eastAsia" w:ascii="Times New Roman" w:hAnsi="Times New Roman" w:eastAsia="Calibri" w:cs="Times New Roman"/>
          <w:color w:val="000000"/>
          <w:kern w:val="0"/>
          <w:sz w:val="28"/>
          <w:szCs w:val="28"/>
          <w:lang w:val="en-US" w:eastAsia="zh-CN" w:bidi="ar"/>
        </w:rPr>
        <w:t>Fi</w:t>
      </w:r>
      <w:r>
        <w:rPr>
          <w:rFonts w:hint="default" w:ascii="Times New Roman" w:hAnsi="Times New Roman" w:eastAsia="Calibri" w:cs="Times New Roman"/>
          <w:color w:val="000000"/>
          <w:kern w:val="0"/>
          <w:sz w:val="28"/>
          <w:szCs w:val="28"/>
          <w:lang w:val="en-US" w:eastAsia="zh-CN" w:bidi="ar"/>
        </w:rPr>
        <w:t xml:space="preserve">ndings from Session 1 of an ongoing three-session study provide initial evidence that LLM parameter configurations profoundly shape collaborative creative writing experiences through their effects on </w:t>
      </w:r>
      <w:r>
        <w:rPr>
          <w:rFonts w:hint="default" w:ascii="Times New Roman" w:hAnsi="Times New Roman" w:eastAsia="Calibri" w:cs="Times New Roman"/>
          <w:b/>
          <w:bCs/>
          <w:color w:val="000000"/>
          <w:kern w:val="0"/>
          <w:sz w:val="28"/>
          <w:szCs w:val="28"/>
          <w:lang w:val="en-US" w:eastAsia="zh-CN" w:bidi="ar"/>
        </w:rPr>
        <w:t>interaction type distribution</w:t>
      </w:r>
      <w:r>
        <w:rPr>
          <w:rFonts w:hint="default" w:ascii="Times New Roman" w:hAnsi="Times New Roman" w:eastAsia="Calibri" w:cs="Times New Roman"/>
          <w:color w:val="000000"/>
          <w:kern w:val="0"/>
          <w:sz w:val="28"/>
          <w:szCs w:val="28"/>
          <w:lang w:val="en-US" w:eastAsia="zh-CN" w:bidi="ar"/>
        </w:rPr>
        <w:t>. The three-type framework (Constraint Repair, Exemplar Giving, Surprise Harvest) provides theoretical lens for understanding how parameter choices translate into pedagogical outcomes</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 xml:space="preserve">While preliminary, these findings challenge assumptions about AI parameter configuration as a neutral technical choice, demonstrating that temperature and top-p settings </w:t>
      </w:r>
      <w:r>
        <w:rPr>
          <w:rFonts w:hint="default" w:ascii="Times New Roman" w:hAnsi="Times New Roman" w:eastAsia="Calibri" w:cs="Times New Roman"/>
          <w:b/>
          <w:bCs/>
          <w:color w:val="000000"/>
          <w:kern w:val="0"/>
          <w:sz w:val="28"/>
          <w:szCs w:val="28"/>
          <w:lang w:val="en-US" w:eastAsia="zh-CN" w:bidi="ar"/>
        </w:rPr>
        <w:t>systematically determine which pedagogical interaction types become available</w:t>
      </w:r>
      <w:r>
        <w:rPr>
          <w:rFonts w:hint="default" w:ascii="Times New Roman" w:hAnsi="Times New Roman" w:eastAsia="Calibri" w:cs="Times New Roman"/>
          <w:color w:val="000000"/>
          <w:kern w:val="0"/>
          <w:sz w:val="28"/>
          <w:szCs w:val="28"/>
          <w:lang w:val="en-US" w:eastAsia="zh-CN" w:bidi="ar"/>
        </w:rPr>
        <w:t> to learners. As AI writing assistants become ubiquitous in educational settings, understanding the interaction type implications of parameter configuration becomes essential for pedagogically grounded implementation.</w:t>
      </w:r>
    </w:p>
    <w:p w14:paraId="261949FB">
      <w:pPr>
        <w:keepNext w:val="0"/>
        <w:keepLines w:val="0"/>
        <w:widowControl/>
        <w:suppressLineNumbers w:val="0"/>
        <w:spacing w:line="143" w:lineRule="atLeast"/>
        <w:ind w:firstLine="6720" w:firstLineChars="2400"/>
        <w:jc w:val="both"/>
        <w:rPr>
          <w:rFonts w:hint="default" w:ascii="Times New Roman" w:hAnsi="Times New Roman" w:eastAsia="宋体" w:cs="Times New Roman"/>
          <w:color w:val="000000"/>
          <w:sz w:val="28"/>
          <w:szCs w:val="28"/>
          <w:lang w:val="en-US" w:eastAsia="zh-CN"/>
        </w:rPr>
      </w:pPr>
      <w:r>
        <w:rPr>
          <w:rFonts w:hint="eastAsia" w:ascii="Times New Roman" w:hAnsi="Times New Roman" w:eastAsia="宋体" w:cs="Times New Roman"/>
          <w:color w:val="000000"/>
          <w:sz w:val="28"/>
          <w:szCs w:val="28"/>
          <w:lang w:val="en-US" w:eastAsia="zh-CN"/>
        </w:rPr>
        <w:t>(1981 words)</w:t>
      </w:r>
    </w:p>
    <w:p w14:paraId="4167FF1C">
      <w:pPr>
        <w:jc w:val="left"/>
        <w:rPr>
          <w:rFonts w:hint="eastAsia" w:ascii="Times New Roman" w:hAnsi="Times New Roman" w:eastAsia="宋体" w:cs="Times New Roman"/>
          <w:b/>
          <w:bCs/>
          <w:color w:val="000000"/>
          <w:sz w:val="28"/>
          <w:szCs w:val="28"/>
          <w:lang w:val="en-US" w:eastAsia="zh-CN"/>
        </w:rPr>
      </w:pPr>
      <w:bookmarkStart w:id="0" w:name="_GoBack"/>
      <w:bookmarkEnd w:id="0"/>
    </w:p>
    <w:p w14:paraId="206F8281">
      <w:pPr>
        <w:jc w:val="left"/>
        <w:rPr>
          <w:rFonts w:hint="eastAsia" w:ascii="Times New Roman" w:hAnsi="Times New Roman" w:eastAsia="宋体" w:cs="Times New Roman"/>
          <w:b/>
          <w:bCs/>
          <w:color w:val="000000"/>
          <w:sz w:val="28"/>
          <w:szCs w:val="28"/>
          <w:lang w:val="en-US" w:eastAsia="zh-CN"/>
        </w:rPr>
      </w:pPr>
    </w:p>
    <w:p w14:paraId="64AF4030">
      <w:pPr>
        <w:ind w:firstLine="3373" w:firstLineChars="1200"/>
        <w:jc w:val="left"/>
        <w:rPr>
          <w:rFonts w:hint="eastAsia" w:ascii="Times New Roman" w:hAnsi="Times New Roman" w:eastAsia="宋体" w:cs="Times New Roman"/>
          <w:b/>
          <w:bCs/>
          <w:color w:val="000000"/>
          <w:sz w:val="28"/>
          <w:szCs w:val="28"/>
          <w:lang w:val="en-US" w:eastAsia="zh-CN"/>
        </w:rPr>
      </w:pPr>
    </w:p>
    <w:p w14:paraId="3877B1D8">
      <w:pPr>
        <w:ind w:firstLine="3373" w:firstLineChars="1200"/>
        <w:jc w:val="left"/>
        <w:rPr>
          <w:rFonts w:hint="eastAsia" w:ascii="Times New Roman" w:hAnsi="Times New Roman" w:eastAsia="宋体" w:cs="Times New Roman"/>
          <w:b/>
          <w:bCs/>
          <w:color w:val="000000"/>
          <w:sz w:val="28"/>
          <w:szCs w:val="28"/>
          <w:lang w:val="en-US" w:eastAsia="zh-CN"/>
        </w:rPr>
      </w:pPr>
    </w:p>
    <w:p w14:paraId="75F22C42">
      <w:pPr>
        <w:ind w:firstLine="3373" w:firstLineChars="1200"/>
        <w:jc w:val="left"/>
        <w:rPr>
          <w:rFonts w:hint="eastAsia" w:ascii="Times New Roman" w:hAnsi="Times New Roman" w:eastAsia="宋体" w:cs="Times New Roman"/>
          <w:b/>
          <w:bCs/>
          <w:color w:val="000000"/>
          <w:sz w:val="28"/>
          <w:szCs w:val="28"/>
          <w:lang w:val="en-US" w:eastAsia="zh-CN"/>
        </w:rPr>
      </w:pPr>
    </w:p>
    <w:p w14:paraId="1399CC88">
      <w:pPr>
        <w:ind w:firstLine="3373" w:firstLineChars="1200"/>
        <w:jc w:val="left"/>
        <w:rPr>
          <w:rFonts w:hint="eastAsia" w:ascii="Times New Roman" w:hAnsi="Times New Roman" w:eastAsia="宋体" w:cs="Times New Roman"/>
          <w:b/>
          <w:bCs/>
          <w:color w:val="000000"/>
          <w:sz w:val="28"/>
          <w:szCs w:val="28"/>
          <w:lang w:val="en-US" w:eastAsia="zh-CN"/>
        </w:rPr>
      </w:pPr>
    </w:p>
    <w:p w14:paraId="640CBB8F">
      <w:pPr>
        <w:ind w:firstLine="3373" w:firstLineChars="1200"/>
        <w:jc w:val="left"/>
        <w:rPr>
          <w:rFonts w:hint="eastAsia" w:ascii="Times New Roman" w:hAnsi="Times New Roman" w:eastAsia="宋体" w:cs="Times New Roman"/>
          <w:b/>
          <w:bCs/>
          <w:color w:val="000000"/>
          <w:sz w:val="28"/>
          <w:szCs w:val="28"/>
          <w:lang w:val="en-US" w:eastAsia="zh-CN"/>
        </w:rPr>
      </w:pPr>
    </w:p>
    <w:p w14:paraId="3E770095">
      <w:pPr>
        <w:ind w:firstLine="3373" w:firstLineChars="1200"/>
        <w:jc w:val="left"/>
        <w:rPr>
          <w:rFonts w:hint="eastAsia" w:ascii="Times New Roman" w:hAnsi="Times New Roman" w:eastAsia="宋体" w:cs="Times New Roman"/>
          <w:b/>
          <w:bCs/>
          <w:color w:val="000000"/>
          <w:sz w:val="28"/>
          <w:szCs w:val="28"/>
          <w:lang w:val="en-US" w:eastAsia="zh-CN"/>
        </w:rPr>
      </w:pPr>
      <w:r>
        <w:rPr>
          <w:rFonts w:hint="eastAsia" w:ascii="Times New Roman" w:hAnsi="Times New Roman" w:eastAsia="宋体" w:cs="Times New Roman"/>
          <w:b/>
          <w:bCs/>
          <w:color w:val="000000"/>
          <w:sz w:val="28"/>
          <w:szCs w:val="28"/>
          <w:lang w:val="en-US" w:eastAsia="zh-CN"/>
        </w:rPr>
        <w:t>References</w:t>
      </w:r>
    </w:p>
    <w:p w14:paraId="76CC45BE">
      <w:pPr>
        <w:ind w:firstLine="3373" w:firstLineChars="1200"/>
        <w:jc w:val="left"/>
        <w:rPr>
          <w:rFonts w:hint="eastAsia" w:ascii="Times New Roman" w:hAnsi="Times New Roman" w:eastAsia="宋体" w:cs="Times New Roman"/>
          <w:b/>
          <w:bCs/>
          <w:color w:val="000000"/>
          <w:sz w:val="28"/>
          <w:szCs w:val="28"/>
          <w:lang w:val="en-US" w:eastAsia="zh-CN"/>
        </w:rPr>
      </w:pPr>
    </w:p>
    <w:p w14:paraId="44CD0145">
      <w:pPr>
        <w:jc w:val="left"/>
        <w:rPr>
          <w:rFonts w:hint="default" w:ascii="Times New Roman" w:hAnsi="Times New Roman" w:eastAsia="微软雅黑 Light" w:cs="Times New Roman"/>
          <w:b w:val="0"/>
          <w:bCs w:val="0"/>
          <w:sz w:val="28"/>
          <w:szCs w:val="28"/>
        </w:rPr>
      </w:pPr>
      <w:r>
        <w:rPr>
          <w:rFonts w:hint="default" w:ascii="Times New Roman" w:hAnsi="Times New Roman" w:eastAsia="微软雅黑 Light" w:cs="Times New Roman"/>
          <w:b w:val="0"/>
          <w:bCs w:val="0"/>
          <w:color w:val="000000"/>
          <w:sz w:val="28"/>
          <w:szCs w:val="28"/>
        </w:rPr>
        <w:t xml:space="preserve">Chakrabarty, T., Padmakumar, V., &amp; He, H. (2022). Help me write a </w:t>
      </w:r>
      <w:r>
        <w:rPr>
          <w:rFonts w:hint="eastAsia" w:ascii="Times New Roman" w:hAnsi="Times New Roman" w:eastAsia="微软雅黑 Light" w:cs="Times New Roman"/>
          <w:b w:val="0"/>
          <w:bCs w:val="0"/>
          <w:color w:val="000000"/>
          <w:sz w:val="28"/>
          <w:szCs w:val="28"/>
          <w:lang w:val="en-US" w:eastAsia="zh-CN"/>
        </w:rPr>
        <w:t xml:space="preserve">   </w:t>
      </w:r>
      <w:r>
        <w:rPr>
          <w:rFonts w:hint="default" w:ascii="Times New Roman" w:hAnsi="Times New Roman" w:eastAsia="微软雅黑 Light" w:cs="Times New Roman"/>
          <w:b w:val="0"/>
          <w:bCs w:val="0"/>
          <w:color w:val="000000"/>
          <w:sz w:val="28"/>
          <w:szCs w:val="28"/>
        </w:rPr>
        <w:t xml:space="preserve">poem: Instruction tuning as a vehicle for collaborative poetry writing. arXiv preprint arXiv:2210.13669. </w:t>
      </w:r>
      <w:r>
        <w:rPr>
          <w:rFonts w:hint="default" w:ascii="Times New Roman" w:hAnsi="Times New Roman" w:eastAsia="微软雅黑 Light" w:cs="Times New Roman"/>
          <w:b w:val="0"/>
          <w:bCs w:val="0"/>
          <w:sz w:val="28"/>
          <w:szCs w:val="28"/>
        </w:rPr>
        <w:fldChar w:fldCharType="begin"/>
      </w:r>
      <w:r>
        <w:rPr>
          <w:rFonts w:hint="default" w:ascii="Times New Roman" w:hAnsi="Times New Roman" w:eastAsia="微软雅黑 Light" w:cs="Times New Roman"/>
          <w:b w:val="0"/>
          <w:bCs w:val="0"/>
          <w:sz w:val="28"/>
          <w:szCs w:val="28"/>
        </w:rPr>
        <w:instrText xml:space="preserve"> HYPERLINK "https://doi.org/10.48550/arXiv.2210.13669" </w:instrText>
      </w:r>
      <w:r>
        <w:rPr>
          <w:rFonts w:hint="default" w:ascii="Times New Roman" w:hAnsi="Times New Roman" w:eastAsia="微软雅黑 Light" w:cs="Times New Roman"/>
          <w:b w:val="0"/>
          <w:bCs w:val="0"/>
          <w:sz w:val="28"/>
          <w:szCs w:val="28"/>
        </w:rPr>
        <w:fldChar w:fldCharType="separate"/>
      </w:r>
      <w:r>
        <w:rPr>
          <w:rStyle w:val="5"/>
          <w:rFonts w:hint="default" w:ascii="Times New Roman" w:hAnsi="Times New Roman" w:eastAsia="微软雅黑 Light" w:cs="Times New Roman"/>
          <w:b w:val="0"/>
          <w:bCs w:val="0"/>
          <w:sz w:val="28"/>
          <w:szCs w:val="28"/>
        </w:rPr>
        <w:t>https://doi.org/10.48550/arXiv.2210.13669</w:t>
      </w:r>
      <w:r>
        <w:rPr>
          <w:rFonts w:hint="default" w:ascii="Times New Roman" w:hAnsi="Times New Roman" w:eastAsia="微软雅黑 Light" w:cs="Times New Roman"/>
          <w:b w:val="0"/>
          <w:bCs w:val="0"/>
          <w:sz w:val="28"/>
          <w:szCs w:val="28"/>
        </w:rPr>
        <w:fldChar w:fldCharType="end"/>
      </w:r>
    </w:p>
    <w:p w14:paraId="170F0421">
      <w:pPr>
        <w:jc w:val="left"/>
        <w:rPr>
          <w:rFonts w:hint="default" w:ascii="Times New Roman" w:hAnsi="Times New Roman" w:eastAsia="微软雅黑 Light" w:cs="Times New Roman"/>
          <w:b w:val="0"/>
          <w:bCs w:val="0"/>
          <w:sz w:val="28"/>
          <w:szCs w:val="28"/>
        </w:rPr>
      </w:pPr>
    </w:p>
    <w:p w14:paraId="7F8CC65A">
      <w:pPr>
        <w:jc w:val="left"/>
        <w:rPr>
          <w:rFonts w:hint="default" w:ascii="Times New Roman" w:hAnsi="Times New Roman" w:eastAsia="微软雅黑 Light" w:cs="Times New Roman"/>
          <w:b w:val="0"/>
          <w:bCs w:val="0"/>
          <w:color w:val="000000"/>
          <w:sz w:val="28"/>
          <w:szCs w:val="28"/>
        </w:rPr>
      </w:pPr>
      <w:r>
        <w:rPr>
          <w:rFonts w:hint="default" w:ascii="Times New Roman" w:hAnsi="Times New Roman" w:eastAsia="微软雅黑 Light" w:cs="Times New Roman"/>
          <w:b w:val="0"/>
          <w:bCs w:val="0"/>
          <w:color w:val="000000"/>
          <w:sz w:val="28"/>
          <w:szCs w:val="28"/>
        </w:rPr>
        <w:t xml:space="preserve">Coenen, A., Retelny, D., Wu, J., Michaux, J., Narayanan, A., Dang, H., Kua, T., Qian, H., Nham, K., Ma, F., &amp; Agrawala, M. (2022). Wordcraft: Story writing with large language models. In IUI '22: 27th International Conference on Intelligent User Interfaces Companion (pp. 841-843). Association for Computing Machinery. </w:t>
      </w:r>
      <w:r>
        <w:rPr>
          <w:rFonts w:hint="default" w:ascii="Times New Roman" w:hAnsi="Times New Roman" w:eastAsia="微软雅黑 Light" w:cs="Times New Roman"/>
          <w:b w:val="0"/>
          <w:bCs w:val="0"/>
          <w:color w:val="000000"/>
          <w:sz w:val="28"/>
          <w:szCs w:val="28"/>
        </w:rPr>
        <w:fldChar w:fldCharType="begin"/>
      </w:r>
      <w:r>
        <w:rPr>
          <w:rFonts w:hint="default" w:ascii="Times New Roman" w:hAnsi="Times New Roman" w:eastAsia="微软雅黑 Light" w:cs="Times New Roman"/>
          <w:b w:val="0"/>
          <w:bCs w:val="0"/>
          <w:color w:val="000000"/>
          <w:sz w:val="28"/>
          <w:szCs w:val="28"/>
        </w:rPr>
        <w:instrText xml:space="preserve"> HYPERLINK "https://doi.org/10.1145/3490100.3516505" </w:instrText>
      </w:r>
      <w:r>
        <w:rPr>
          <w:rFonts w:hint="default" w:ascii="Times New Roman" w:hAnsi="Times New Roman" w:eastAsia="微软雅黑 Light" w:cs="Times New Roman"/>
          <w:b w:val="0"/>
          <w:bCs w:val="0"/>
          <w:color w:val="000000"/>
          <w:sz w:val="28"/>
          <w:szCs w:val="28"/>
        </w:rPr>
        <w:fldChar w:fldCharType="separate"/>
      </w:r>
      <w:r>
        <w:rPr>
          <w:rStyle w:val="5"/>
          <w:rFonts w:hint="default" w:ascii="Times New Roman" w:hAnsi="Times New Roman" w:eastAsia="微软雅黑 Light" w:cs="Times New Roman"/>
          <w:b w:val="0"/>
          <w:bCs w:val="0"/>
          <w:sz w:val="28"/>
          <w:szCs w:val="28"/>
        </w:rPr>
        <w:t>https://doi.org/10.1145/3490100.3516505</w:t>
      </w:r>
      <w:r>
        <w:rPr>
          <w:rFonts w:hint="default" w:ascii="Times New Roman" w:hAnsi="Times New Roman" w:eastAsia="微软雅黑 Light" w:cs="Times New Roman"/>
          <w:b w:val="0"/>
          <w:bCs w:val="0"/>
          <w:color w:val="000000"/>
          <w:sz w:val="28"/>
          <w:szCs w:val="28"/>
        </w:rPr>
        <w:fldChar w:fldCharType="end"/>
      </w:r>
    </w:p>
    <w:p w14:paraId="22696E46">
      <w:pPr>
        <w:jc w:val="left"/>
        <w:rPr>
          <w:rFonts w:hint="default" w:ascii="Times New Roman" w:hAnsi="Times New Roman" w:eastAsia="微软雅黑 Light" w:cs="Times New Roman"/>
          <w:b w:val="0"/>
          <w:bCs w:val="0"/>
          <w:color w:val="000000"/>
          <w:sz w:val="28"/>
          <w:szCs w:val="28"/>
        </w:rPr>
      </w:pPr>
    </w:p>
    <w:p w14:paraId="38486EC3">
      <w:pPr>
        <w:jc w:val="left"/>
        <w:rPr>
          <w:rFonts w:hint="default" w:ascii="Times New Roman" w:hAnsi="Times New Roman" w:eastAsia="微软雅黑 Light" w:cs="Times New Roman"/>
          <w:b w:val="0"/>
          <w:bCs w:val="0"/>
          <w:color w:val="000000"/>
          <w:sz w:val="28"/>
          <w:szCs w:val="28"/>
        </w:rPr>
      </w:pPr>
      <w:r>
        <w:rPr>
          <w:rFonts w:hint="default" w:ascii="Times New Roman" w:hAnsi="Times New Roman" w:eastAsia="微软雅黑 Light" w:cs="Times New Roman"/>
          <w:b w:val="0"/>
          <w:bCs w:val="0"/>
          <w:color w:val="000000"/>
          <w:sz w:val="28"/>
          <w:szCs w:val="28"/>
        </w:rPr>
        <w:t>Hanauer, D. I. (2010). Poetry as research: Exploring second language poetry writing. John Benjamins Publishing Company.</w:t>
      </w:r>
    </w:p>
    <w:p w14:paraId="78853C55">
      <w:pPr>
        <w:jc w:val="left"/>
        <w:rPr>
          <w:rFonts w:hint="default" w:ascii="Times New Roman" w:hAnsi="Times New Roman" w:eastAsia="微软雅黑 Light" w:cs="Times New Roman"/>
          <w:b w:val="0"/>
          <w:bCs w:val="0"/>
          <w:color w:val="000000"/>
          <w:sz w:val="28"/>
          <w:szCs w:val="28"/>
        </w:rPr>
      </w:pPr>
    </w:p>
    <w:p w14:paraId="07CB2761">
      <w:pPr>
        <w:jc w:val="left"/>
        <w:rPr>
          <w:rFonts w:hint="default" w:ascii="Times New Roman" w:hAnsi="Times New Roman" w:eastAsia="微软雅黑 Light" w:cs="Times New Roman"/>
          <w:b w:val="0"/>
          <w:bCs w:val="0"/>
          <w:color w:val="000000"/>
          <w:sz w:val="28"/>
          <w:szCs w:val="28"/>
        </w:rPr>
      </w:pPr>
      <w:r>
        <w:rPr>
          <w:rFonts w:hint="default" w:ascii="Times New Roman" w:hAnsi="Times New Roman" w:eastAsia="微软雅黑 Light" w:cs="Times New Roman"/>
          <w:b w:val="0"/>
          <w:bCs w:val="0"/>
          <w:color w:val="000000"/>
          <w:sz w:val="28"/>
          <w:szCs w:val="28"/>
        </w:rPr>
        <w:t>Holtzman, A., Buys, J., Du, L., Forbes, M., &amp; Choi, Y. (2019). The curious case of neural text degeneration. arXiv preprint arXiv:1904.09751.</w:t>
      </w:r>
    </w:p>
    <w:p w14:paraId="0C612EBC">
      <w:pPr>
        <w:jc w:val="left"/>
        <w:rPr>
          <w:rFonts w:hint="default" w:ascii="Times New Roman" w:hAnsi="Times New Roman" w:eastAsia="微软雅黑 Light" w:cs="Times New Roman"/>
          <w:b w:val="0"/>
          <w:bCs w:val="0"/>
          <w:color w:val="000000"/>
          <w:sz w:val="28"/>
          <w:szCs w:val="28"/>
        </w:rPr>
      </w:pPr>
    </w:p>
    <w:p w14:paraId="269037F5">
      <w:pPr>
        <w:jc w:val="left"/>
        <w:rPr>
          <w:rFonts w:hint="default" w:ascii="Times New Roman" w:hAnsi="Times New Roman" w:eastAsia="微软雅黑 Light" w:cs="Times New Roman"/>
          <w:b w:val="0"/>
          <w:bCs w:val="0"/>
          <w:color w:val="000000"/>
          <w:sz w:val="28"/>
          <w:szCs w:val="28"/>
        </w:rPr>
      </w:pPr>
      <w:r>
        <w:rPr>
          <w:rFonts w:hint="default" w:ascii="Times New Roman" w:hAnsi="Times New Roman" w:eastAsia="微软雅黑 Light" w:cs="Times New Roman"/>
          <w:b w:val="0"/>
          <w:bCs w:val="0"/>
          <w:color w:val="000000"/>
          <w:sz w:val="28"/>
          <w:szCs w:val="28"/>
        </w:rPr>
        <w:t xml:space="preserve">Ippolito, D., Yuan, A., Coenen, A., &amp; Burnam, S. (2022). Creative writing with an AI-powered writing assistant: Perspectives from professional writers. arXiv preprint arXiv:2211.05030. </w:t>
      </w:r>
      <w:r>
        <w:rPr>
          <w:rFonts w:hint="default" w:ascii="Times New Roman" w:hAnsi="Times New Roman" w:eastAsia="微软雅黑 Light" w:cs="Times New Roman"/>
          <w:b w:val="0"/>
          <w:bCs w:val="0"/>
          <w:color w:val="000000"/>
          <w:sz w:val="28"/>
          <w:szCs w:val="28"/>
        </w:rPr>
        <w:fldChar w:fldCharType="begin"/>
      </w:r>
      <w:r>
        <w:rPr>
          <w:rFonts w:hint="default" w:ascii="Times New Roman" w:hAnsi="Times New Roman" w:eastAsia="微软雅黑 Light" w:cs="Times New Roman"/>
          <w:b w:val="0"/>
          <w:bCs w:val="0"/>
          <w:color w:val="000000"/>
          <w:sz w:val="28"/>
          <w:szCs w:val="28"/>
        </w:rPr>
        <w:instrText xml:space="preserve"> HYPERLINK "https://doi.org/10.48550/arXiv.2211.05030" </w:instrText>
      </w:r>
      <w:r>
        <w:rPr>
          <w:rFonts w:hint="default" w:ascii="Times New Roman" w:hAnsi="Times New Roman" w:eastAsia="微软雅黑 Light" w:cs="Times New Roman"/>
          <w:b w:val="0"/>
          <w:bCs w:val="0"/>
          <w:color w:val="000000"/>
          <w:sz w:val="28"/>
          <w:szCs w:val="28"/>
        </w:rPr>
        <w:fldChar w:fldCharType="separate"/>
      </w:r>
      <w:r>
        <w:rPr>
          <w:rStyle w:val="5"/>
          <w:rFonts w:hint="default" w:ascii="Times New Roman" w:hAnsi="Times New Roman" w:eastAsia="微软雅黑 Light" w:cs="Times New Roman"/>
          <w:b w:val="0"/>
          <w:bCs w:val="0"/>
          <w:sz w:val="28"/>
          <w:szCs w:val="28"/>
        </w:rPr>
        <w:t>https://doi.org/10.48550/arXiv.2211.05030</w:t>
      </w:r>
      <w:r>
        <w:rPr>
          <w:rFonts w:hint="default" w:ascii="Times New Roman" w:hAnsi="Times New Roman" w:eastAsia="微软雅黑 Light" w:cs="Times New Roman"/>
          <w:b w:val="0"/>
          <w:bCs w:val="0"/>
          <w:color w:val="000000"/>
          <w:sz w:val="28"/>
          <w:szCs w:val="28"/>
        </w:rPr>
        <w:fldChar w:fldCharType="end"/>
      </w:r>
    </w:p>
    <w:p w14:paraId="692CF067">
      <w:pPr>
        <w:jc w:val="left"/>
        <w:rPr>
          <w:rFonts w:hint="default" w:ascii="Times New Roman" w:hAnsi="Times New Roman" w:eastAsia="微软雅黑 Light" w:cs="Times New Roman"/>
          <w:b w:val="0"/>
          <w:bCs w:val="0"/>
          <w:color w:val="000000"/>
          <w:sz w:val="28"/>
          <w:szCs w:val="28"/>
          <w:lang w:val="en-US" w:eastAsia="zh-CN"/>
        </w:rPr>
      </w:pPr>
    </w:p>
    <w:p w14:paraId="414A4983">
      <w:pPr>
        <w:jc w:val="left"/>
        <w:rPr>
          <w:rFonts w:hint="default" w:ascii="Times New Roman" w:hAnsi="Times New Roman" w:eastAsia="微软雅黑 Light" w:cs="Times New Roman"/>
          <w:b w:val="0"/>
          <w:bCs w:val="0"/>
          <w:sz w:val="28"/>
          <w:szCs w:val="28"/>
        </w:rPr>
      </w:pPr>
      <w:r>
        <w:rPr>
          <w:rFonts w:hint="default" w:ascii="Times New Roman" w:hAnsi="Times New Roman" w:eastAsia="微软雅黑 Light" w:cs="Times New Roman"/>
          <w:b w:val="0"/>
          <w:bCs w:val="0"/>
          <w:color w:val="000000"/>
          <w:sz w:val="28"/>
          <w:szCs w:val="28"/>
        </w:rPr>
        <w:t xml:space="preserve">Li, L., Wei, Y., Xu, M., Xiao, M., He, X., Liu, W., &amp; Liang, S. (2025). Exploring the impact of temperature on large language models: Hot or cold? Procedia Computer Science, 264, 242-251. </w:t>
      </w:r>
      <w:r>
        <w:rPr>
          <w:rFonts w:hint="default" w:ascii="Times New Roman" w:hAnsi="Times New Roman" w:eastAsia="微软雅黑 Light" w:cs="Times New Roman"/>
          <w:b w:val="0"/>
          <w:bCs w:val="0"/>
          <w:sz w:val="28"/>
          <w:szCs w:val="28"/>
        </w:rPr>
        <w:fldChar w:fldCharType="begin"/>
      </w:r>
      <w:r>
        <w:rPr>
          <w:rFonts w:hint="default" w:ascii="Times New Roman" w:hAnsi="Times New Roman" w:eastAsia="微软雅黑 Light" w:cs="Times New Roman"/>
          <w:b w:val="0"/>
          <w:bCs w:val="0"/>
          <w:sz w:val="28"/>
          <w:szCs w:val="28"/>
        </w:rPr>
        <w:instrText xml:space="preserve"> HYPERLINK "https://doi.org/10.1016/j.procs.2024.10.130" </w:instrText>
      </w:r>
      <w:r>
        <w:rPr>
          <w:rFonts w:hint="default" w:ascii="Times New Roman" w:hAnsi="Times New Roman" w:eastAsia="微软雅黑 Light" w:cs="Times New Roman"/>
          <w:b w:val="0"/>
          <w:bCs w:val="0"/>
          <w:sz w:val="28"/>
          <w:szCs w:val="28"/>
        </w:rPr>
        <w:fldChar w:fldCharType="separate"/>
      </w:r>
      <w:r>
        <w:rPr>
          <w:rStyle w:val="5"/>
          <w:rFonts w:hint="default" w:ascii="Times New Roman" w:hAnsi="Times New Roman" w:eastAsia="微软雅黑 Light" w:cs="Times New Roman"/>
          <w:b w:val="0"/>
          <w:bCs w:val="0"/>
          <w:sz w:val="28"/>
          <w:szCs w:val="28"/>
        </w:rPr>
        <w:t>https://doi.org/10.1016/j.procs.2024.10.130</w:t>
      </w:r>
      <w:r>
        <w:rPr>
          <w:rFonts w:hint="default" w:ascii="Times New Roman" w:hAnsi="Times New Roman" w:eastAsia="微软雅黑 Light" w:cs="Times New Roman"/>
          <w:b w:val="0"/>
          <w:bCs w:val="0"/>
          <w:sz w:val="28"/>
          <w:szCs w:val="28"/>
        </w:rPr>
        <w:fldChar w:fldCharType="end"/>
      </w:r>
    </w:p>
    <w:p w14:paraId="2A0ED4D5">
      <w:pPr>
        <w:jc w:val="left"/>
        <w:rPr>
          <w:rFonts w:hint="default" w:ascii="Times New Roman" w:hAnsi="Times New Roman" w:eastAsia="微软雅黑 Light" w:cs="Times New Roman"/>
          <w:b w:val="0"/>
          <w:bCs w:val="0"/>
          <w:sz w:val="28"/>
          <w:szCs w:val="28"/>
        </w:rPr>
      </w:pPr>
    </w:p>
    <w:p w14:paraId="0C5CA31B">
      <w:pPr>
        <w:jc w:val="left"/>
        <w:rPr>
          <w:rFonts w:hint="default" w:ascii="Times New Roman" w:hAnsi="Times New Roman" w:eastAsia="微软雅黑 Light" w:cs="Times New Roman"/>
          <w:b w:val="0"/>
          <w:bCs w:val="0"/>
          <w:color w:val="000000"/>
          <w:sz w:val="28"/>
          <w:szCs w:val="28"/>
        </w:rPr>
      </w:pPr>
      <w:r>
        <w:rPr>
          <w:rFonts w:hint="default" w:ascii="Times New Roman" w:hAnsi="Times New Roman" w:eastAsia="微软雅黑 Light" w:cs="Times New Roman"/>
          <w:b w:val="0"/>
          <w:bCs w:val="0"/>
          <w:color w:val="000000"/>
          <w:sz w:val="28"/>
          <w:szCs w:val="28"/>
        </w:rPr>
        <w:t xml:space="preserve">Li, M. (2025). Generative artificial intelligence in second language writing: A comprehensive review of current research. Language Teaching, 1-29. </w:t>
      </w:r>
      <w:r>
        <w:rPr>
          <w:rFonts w:hint="default" w:ascii="Times New Roman" w:hAnsi="Times New Roman" w:eastAsia="微软雅黑 Light" w:cs="Times New Roman"/>
          <w:b w:val="0"/>
          <w:bCs w:val="0"/>
          <w:color w:val="000000"/>
          <w:sz w:val="28"/>
          <w:szCs w:val="28"/>
        </w:rPr>
        <w:fldChar w:fldCharType="begin"/>
      </w:r>
      <w:r>
        <w:rPr>
          <w:rFonts w:hint="default" w:ascii="Times New Roman" w:hAnsi="Times New Roman" w:eastAsia="微软雅黑 Light" w:cs="Times New Roman"/>
          <w:b w:val="0"/>
          <w:bCs w:val="0"/>
          <w:color w:val="000000"/>
          <w:sz w:val="28"/>
          <w:szCs w:val="28"/>
        </w:rPr>
        <w:instrText xml:space="preserve"> HYPERLINK "https://doi.org/10.1017/S0261444824000424" </w:instrText>
      </w:r>
      <w:r>
        <w:rPr>
          <w:rFonts w:hint="default" w:ascii="Times New Roman" w:hAnsi="Times New Roman" w:eastAsia="微软雅黑 Light" w:cs="Times New Roman"/>
          <w:b w:val="0"/>
          <w:bCs w:val="0"/>
          <w:color w:val="000000"/>
          <w:sz w:val="28"/>
          <w:szCs w:val="28"/>
        </w:rPr>
        <w:fldChar w:fldCharType="separate"/>
      </w:r>
      <w:r>
        <w:rPr>
          <w:rStyle w:val="5"/>
          <w:rFonts w:hint="default" w:ascii="Times New Roman" w:hAnsi="Times New Roman" w:eastAsia="微软雅黑 Light" w:cs="Times New Roman"/>
          <w:b w:val="0"/>
          <w:bCs w:val="0"/>
          <w:sz w:val="28"/>
          <w:szCs w:val="28"/>
        </w:rPr>
        <w:t>https://doi.org/10.1017/S0261444824000424</w:t>
      </w:r>
      <w:r>
        <w:rPr>
          <w:rFonts w:hint="default" w:ascii="Times New Roman" w:hAnsi="Times New Roman" w:eastAsia="微软雅黑 Light" w:cs="Times New Roman"/>
          <w:b w:val="0"/>
          <w:bCs w:val="0"/>
          <w:color w:val="000000"/>
          <w:sz w:val="28"/>
          <w:szCs w:val="28"/>
        </w:rPr>
        <w:fldChar w:fldCharType="end"/>
      </w:r>
    </w:p>
    <w:p w14:paraId="1E736135">
      <w:pPr>
        <w:jc w:val="left"/>
        <w:rPr>
          <w:rFonts w:hint="default" w:ascii="Times New Roman" w:hAnsi="Times New Roman" w:eastAsia="微软雅黑 Light" w:cs="Times New Roman"/>
          <w:b w:val="0"/>
          <w:bCs w:val="0"/>
          <w:color w:val="000000"/>
          <w:sz w:val="28"/>
          <w:szCs w:val="28"/>
          <w:lang w:val="en-US" w:eastAsia="zh-CN"/>
        </w:rPr>
      </w:pPr>
    </w:p>
    <w:p w14:paraId="01413249">
      <w:pPr>
        <w:jc w:val="left"/>
        <w:rPr>
          <w:rFonts w:hint="default" w:ascii="Times New Roman" w:hAnsi="Times New Roman" w:eastAsia="微软雅黑 Light" w:cs="Times New Roman"/>
          <w:b w:val="0"/>
          <w:bCs w:val="0"/>
          <w:color w:val="000000"/>
          <w:sz w:val="28"/>
          <w:szCs w:val="28"/>
        </w:rPr>
      </w:pPr>
      <w:r>
        <w:rPr>
          <w:rFonts w:hint="default" w:ascii="Times New Roman" w:hAnsi="Times New Roman" w:eastAsia="微软雅黑 Light" w:cs="Times New Roman"/>
          <w:b w:val="0"/>
          <w:bCs w:val="0"/>
          <w:color w:val="000000"/>
          <w:sz w:val="28"/>
          <w:szCs w:val="28"/>
        </w:rPr>
        <w:t xml:space="preserve">Lyster, R., &amp; Ranta, L. (1997). Corrective feedback and learner uptake: Negotiation of form in communicative classrooms. Studies in Second Language Acquisition, 19(1), 37-66. </w:t>
      </w:r>
      <w:r>
        <w:rPr>
          <w:rFonts w:hint="default" w:ascii="Times New Roman" w:hAnsi="Times New Roman" w:eastAsia="微软雅黑 Light" w:cs="Times New Roman"/>
          <w:b w:val="0"/>
          <w:bCs w:val="0"/>
          <w:color w:val="000000"/>
          <w:sz w:val="28"/>
          <w:szCs w:val="28"/>
        </w:rPr>
        <w:fldChar w:fldCharType="begin"/>
      </w:r>
      <w:r>
        <w:rPr>
          <w:rFonts w:hint="default" w:ascii="Times New Roman" w:hAnsi="Times New Roman" w:eastAsia="微软雅黑 Light" w:cs="Times New Roman"/>
          <w:b w:val="0"/>
          <w:bCs w:val="0"/>
          <w:color w:val="000000"/>
          <w:sz w:val="28"/>
          <w:szCs w:val="28"/>
        </w:rPr>
        <w:instrText xml:space="preserve"> HYPERLINK "https://doi.org/10.1017/S0272263197001034" </w:instrText>
      </w:r>
      <w:r>
        <w:rPr>
          <w:rFonts w:hint="default" w:ascii="Times New Roman" w:hAnsi="Times New Roman" w:eastAsia="微软雅黑 Light" w:cs="Times New Roman"/>
          <w:b w:val="0"/>
          <w:bCs w:val="0"/>
          <w:color w:val="000000"/>
          <w:sz w:val="28"/>
          <w:szCs w:val="28"/>
        </w:rPr>
        <w:fldChar w:fldCharType="separate"/>
      </w:r>
      <w:r>
        <w:rPr>
          <w:rStyle w:val="5"/>
          <w:rFonts w:hint="default" w:ascii="Times New Roman" w:hAnsi="Times New Roman" w:eastAsia="微软雅黑 Light" w:cs="Times New Roman"/>
          <w:b w:val="0"/>
          <w:bCs w:val="0"/>
          <w:sz w:val="28"/>
          <w:szCs w:val="28"/>
        </w:rPr>
        <w:t>https://doi.org/10.1017/S0272263197001034</w:t>
      </w:r>
      <w:r>
        <w:rPr>
          <w:rFonts w:hint="default" w:ascii="Times New Roman" w:hAnsi="Times New Roman" w:eastAsia="微软雅黑 Light" w:cs="Times New Roman"/>
          <w:b w:val="0"/>
          <w:bCs w:val="0"/>
          <w:color w:val="000000"/>
          <w:sz w:val="28"/>
          <w:szCs w:val="28"/>
        </w:rPr>
        <w:fldChar w:fldCharType="end"/>
      </w:r>
    </w:p>
    <w:p w14:paraId="05B39EAD">
      <w:pPr>
        <w:jc w:val="left"/>
        <w:rPr>
          <w:rFonts w:hint="default" w:ascii="Times New Roman" w:hAnsi="Times New Roman" w:eastAsia="微软雅黑 Light" w:cs="Times New Roman"/>
          <w:b w:val="0"/>
          <w:bCs w:val="0"/>
          <w:color w:val="000000"/>
          <w:sz w:val="28"/>
          <w:szCs w:val="28"/>
          <w:lang w:val="en-US" w:eastAsia="zh-CN"/>
        </w:rPr>
      </w:pPr>
    </w:p>
    <w:p w14:paraId="05071554">
      <w:pPr>
        <w:jc w:val="left"/>
        <w:rPr>
          <w:rFonts w:hint="default" w:ascii="Times New Roman" w:hAnsi="Times New Roman" w:eastAsia="微软雅黑 Light" w:cs="Times New Roman"/>
          <w:b w:val="0"/>
          <w:bCs w:val="0"/>
          <w:color w:val="000000"/>
          <w:sz w:val="28"/>
          <w:szCs w:val="28"/>
        </w:rPr>
      </w:pPr>
      <w:r>
        <w:rPr>
          <w:rFonts w:hint="default" w:ascii="Times New Roman" w:hAnsi="Times New Roman" w:eastAsia="微软雅黑 Light" w:cs="Times New Roman"/>
          <w:b w:val="0"/>
          <w:bCs w:val="0"/>
          <w:color w:val="000000"/>
          <w:sz w:val="28"/>
          <w:szCs w:val="28"/>
        </w:rPr>
        <w:t xml:space="preserve">Peeperkorn, M., Bewersdorff, A., &amp; Zhai, X. (2024). Is temperature the creativity parameter of large language models? arXiv preprint arXiv:2405.00492. </w:t>
      </w:r>
      <w:r>
        <w:rPr>
          <w:rFonts w:hint="default" w:ascii="Times New Roman" w:hAnsi="Times New Roman" w:eastAsia="微软雅黑 Light" w:cs="Times New Roman"/>
          <w:b w:val="0"/>
          <w:bCs w:val="0"/>
          <w:color w:val="000000"/>
          <w:sz w:val="28"/>
          <w:szCs w:val="28"/>
        </w:rPr>
        <w:fldChar w:fldCharType="begin"/>
      </w:r>
      <w:r>
        <w:rPr>
          <w:rFonts w:hint="default" w:ascii="Times New Roman" w:hAnsi="Times New Roman" w:eastAsia="微软雅黑 Light" w:cs="Times New Roman"/>
          <w:b w:val="0"/>
          <w:bCs w:val="0"/>
          <w:color w:val="000000"/>
          <w:sz w:val="28"/>
          <w:szCs w:val="28"/>
        </w:rPr>
        <w:instrText xml:space="preserve"> HYPERLINK "https://doi.org/10.48550/arXiv.2405.00492" </w:instrText>
      </w:r>
      <w:r>
        <w:rPr>
          <w:rFonts w:hint="default" w:ascii="Times New Roman" w:hAnsi="Times New Roman" w:eastAsia="微软雅黑 Light" w:cs="Times New Roman"/>
          <w:b w:val="0"/>
          <w:bCs w:val="0"/>
          <w:color w:val="000000"/>
          <w:sz w:val="28"/>
          <w:szCs w:val="28"/>
        </w:rPr>
        <w:fldChar w:fldCharType="separate"/>
      </w:r>
      <w:r>
        <w:rPr>
          <w:rStyle w:val="5"/>
          <w:rFonts w:hint="default" w:ascii="Times New Roman" w:hAnsi="Times New Roman" w:eastAsia="微软雅黑 Light" w:cs="Times New Roman"/>
          <w:b w:val="0"/>
          <w:bCs w:val="0"/>
          <w:sz w:val="28"/>
          <w:szCs w:val="28"/>
        </w:rPr>
        <w:t>https://doi.org/10.48550/arXiv.2405.00492</w:t>
      </w:r>
      <w:r>
        <w:rPr>
          <w:rFonts w:hint="default" w:ascii="Times New Roman" w:hAnsi="Times New Roman" w:eastAsia="微软雅黑 Light" w:cs="Times New Roman"/>
          <w:b w:val="0"/>
          <w:bCs w:val="0"/>
          <w:color w:val="000000"/>
          <w:sz w:val="28"/>
          <w:szCs w:val="28"/>
        </w:rPr>
        <w:fldChar w:fldCharType="end"/>
      </w:r>
    </w:p>
    <w:p w14:paraId="4D564B07">
      <w:pPr>
        <w:jc w:val="left"/>
        <w:rPr>
          <w:rFonts w:hint="default" w:ascii="Times New Roman" w:hAnsi="Times New Roman" w:eastAsia="微软雅黑 Light" w:cs="Times New Roman"/>
          <w:b w:val="0"/>
          <w:bCs w:val="0"/>
          <w:color w:val="000000"/>
          <w:sz w:val="28"/>
          <w:szCs w:val="28"/>
          <w:lang w:val="en-US" w:eastAsia="zh-CN"/>
        </w:rPr>
      </w:pPr>
    </w:p>
    <w:p w14:paraId="32315310">
      <w:pPr>
        <w:jc w:val="left"/>
        <w:rPr>
          <w:rFonts w:hint="default" w:ascii="Times New Roman" w:hAnsi="Times New Roman" w:eastAsia="微软雅黑 Light" w:cs="Times New Roman"/>
          <w:b w:val="0"/>
          <w:bCs w:val="0"/>
          <w:color w:val="000000"/>
          <w:sz w:val="28"/>
          <w:szCs w:val="28"/>
          <w:lang w:val="en-US" w:eastAsia="zh-CN"/>
        </w:rPr>
      </w:pPr>
      <w:r>
        <w:rPr>
          <w:rFonts w:hint="default" w:ascii="Times New Roman" w:hAnsi="Times New Roman" w:eastAsia="微软雅黑 Light" w:cs="Times New Roman"/>
          <w:b w:val="0"/>
          <w:bCs w:val="0"/>
          <w:color w:val="000000"/>
          <w:sz w:val="28"/>
          <w:szCs w:val="28"/>
        </w:rPr>
        <w:t xml:space="preserve">Qian, W., Ma, J., Fox, R., Zhang, B., Liaw, R., Krishna, K., &amp; Laban, P. (2023). </w:t>
      </w:r>
      <w:r>
        <w:rPr>
          <w:rFonts w:hint="default" w:ascii="Times New Roman" w:hAnsi="Times New Roman" w:eastAsia="微软雅黑 Light" w:cs="Times New Roman"/>
          <w:b w:val="0"/>
          <w:bCs w:val="0"/>
          <w:color w:val="000000"/>
          <w:sz w:val="28"/>
          <w:szCs w:val="28"/>
          <w:lang w:val="en-US" w:eastAsia="zh-CN"/>
        </w:rPr>
        <w:t>“</w:t>
      </w:r>
      <w:r>
        <w:rPr>
          <w:rFonts w:hint="default" w:ascii="Times New Roman" w:hAnsi="Times New Roman" w:eastAsia="微软雅黑 Light" w:cs="Times New Roman"/>
          <w:b w:val="0"/>
          <w:bCs w:val="0"/>
          <w:color w:val="000000"/>
          <w:sz w:val="28"/>
          <w:szCs w:val="28"/>
        </w:rPr>
        <w:t>It felt like having a second mind</w:t>
      </w:r>
      <w:r>
        <w:rPr>
          <w:rFonts w:hint="default" w:ascii="Times New Roman" w:hAnsi="Times New Roman" w:eastAsia="微软雅黑 Light" w:cs="Times New Roman"/>
          <w:b w:val="0"/>
          <w:bCs w:val="0"/>
          <w:color w:val="000000"/>
          <w:sz w:val="28"/>
          <w:szCs w:val="28"/>
          <w:lang w:val="en-US" w:eastAsia="zh-CN"/>
        </w:rPr>
        <w:t>”</w:t>
      </w:r>
      <w:r>
        <w:rPr>
          <w:rFonts w:hint="default" w:ascii="Times New Roman" w:hAnsi="Times New Roman" w:eastAsia="微软雅黑 Light" w:cs="Times New Roman"/>
          <w:b w:val="0"/>
          <w:bCs w:val="0"/>
          <w:color w:val="000000"/>
          <w:sz w:val="28"/>
          <w:szCs w:val="28"/>
        </w:rPr>
        <w:t>: Investigating human-AI co-creativity in prewriting with large language models. arXiv preprint arXiv:2307.10811. https://doi.org/10.48550/arXiv.2307.10811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830C2D"/>
    <w:rsid w:val="169138C6"/>
    <w:rsid w:val="16C21EE2"/>
    <w:rsid w:val="320A4108"/>
    <w:rsid w:val="5723616D"/>
    <w:rsid w:val="6D830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2238</Words>
  <Characters>15488</Characters>
  <Lines>0</Lines>
  <Paragraphs>0</Paragraphs>
  <TotalTime>14</TotalTime>
  <ScaleCrop>false</ScaleCrop>
  <LinksUpToDate>false</LinksUpToDate>
  <CharactersWithSpaces>17648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2025-11-26T09:13:00Z</dcterms:created>
  <dc:creator>Ruobin Yu</dc:creator>
  <cp:lastModifiedBy>Ruobin Yu</cp:lastModifiedBy>
  <dcterms:modified xsi:type="dcterms:W3CDTF">2025-12-08T09:07:51Z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8855D2685A424301BEE2F8178CF93BD6_13</vt:lpwstr>
  </property>
  <property fmtid="{D5CDD505-2E9C-101B-9397-08002B2CF9AE}" pid="4" name="KSOTemplateDocerSaveRecord">
    <vt:lpwstr>eyJoZGlkIjoiMzEwNTM5NzYwMDRjMzkwZTVkZjY2ODkwMGIxNGU0OTUiLCJ1c2VySWQiOiIyNDc1MzY0MzYifQ==</vt:lpwstr>
  </property>
</Properties>
</file>