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015D0">
      <w:pPr>
        <w:rPr>
          <w:rFonts w:hint="default" w:ascii="Times New Roman" w:hAnsi="Times New Roman" w:eastAsia="Calibri" w:cs="Times New Roman"/>
          <w:b/>
          <w:bCs/>
          <w:color w:val="000000"/>
          <w:sz w:val="24"/>
          <w:szCs w:val="24"/>
        </w:rPr>
      </w:pPr>
    </w:p>
    <w:p w14:paraId="3422DC74">
      <w:pPr>
        <w:rPr>
          <w:rFonts w:hint="default" w:ascii="Times New Roman" w:hAnsi="Times New Roman" w:eastAsia="Calibri" w:cs="Times New Roman"/>
          <w:b/>
          <w:bCs/>
          <w:color w:val="000000"/>
          <w:sz w:val="24"/>
          <w:szCs w:val="24"/>
        </w:rPr>
      </w:pPr>
    </w:p>
    <w:p w14:paraId="24F0E3E1">
      <w:pPr>
        <w:jc w:val="center"/>
        <w:rPr>
          <w:rFonts w:hint="default" w:ascii="Times New Roman" w:hAnsi="Times New Roman" w:eastAsia="宋体" w:cs="Times New Roman"/>
          <w:b/>
          <w:bCs/>
          <w:color w:val="000000"/>
          <w:sz w:val="28"/>
          <w:szCs w:val="28"/>
          <w:lang w:val="en-US" w:eastAsia="zh-CN"/>
        </w:rPr>
      </w:pPr>
      <w:r>
        <w:rPr>
          <w:rFonts w:hint="default" w:ascii="Times New Roman" w:hAnsi="Times New Roman" w:eastAsia="Calibri" w:cs="Times New Roman"/>
          <w:b/>
          <w:bCs/>
          <w:color w:val="000000"/>
          <w:sz w:val="28"/>
          <w:szCs w:val="28"/>
        </w:rPr>
        <w:t xml:space="preserve">From Static to Dynamic: Parameter Manipulation as Adaptive DDL Scaffolding in L2 Creative Writing with </w:t>
      </w:r>
      <w:r>
        <w:rPr>
          <w:rFonts w:hint="default" w:ascii="Times New Roman" w:hAnsi="Times New Roman" w:eastAsia="宋体" w:cs="Times New Roman"/>
          <w:b/>
          <w:bCs/>
          <w:color w:val="000000"/>
          <w:sz w:val="28"/>
          <w:szCs w:val="28"/>
          <w:lang w:val="en-US" w:eastAsia="zh-CN"/>
        </w:rPr>
        <w:t>Generative AI</w:t>
      </w:r>
    </w:p>
    <w:p w14:paraId="3EA95FA9">
      <w:pPr>
        <w:rPr>
          <w:rFonts w:hint="default" w:ascii="Times New Roman" w:hAnsi="Times New Roman" w:eastAsia="Calibri" w:cs="Times New Roman"/>
          <w:b/>
          <w:bCs/>
          <w:color w:val="000000"/>
          <w:sz w:val="28"/>
          <w:szCs w:val="28"/>
        </w:rPr>
      </w:pPr>
    </w:p>
    <w:p w14:paraId="2E085F8A">
      <w:pPr>
        <w:numPr>
          <w:ilvl w:val="0"/>
          <w:numId w:val="1"/>
        </w:numPr>
        <w:rPr>
          <w:rFonts w:hint="default" w:ascii="Times New Roman" w:hAnsi="Times New Roman" w:eastAsia="宋体" w:cs="Times New Roman"/>
          <w:b/>
          <w:bCs/>
          <w:color w:val="000000"/>
          <w:sz w:val="28"/>
          <w:szCs w:val="28"/>
          <w:lang w:val="en-US" w:eastAsia="zh-CN"/>
        </w:rPr>
      </w:pPr>
      <w:r>
        <w:rPr>
          <w:rFonts w:hint="default" w:ascii="Times New Roman" w:hAnsi="Times New Roman" w:eastAsia="宋体" w:cs="Times New Roman"/>
          <w:b/>
          <w:bCs/>
          <w:color w:val="000000"/>
          <w:sz w:val="28"/>
          <w:szCs w:val="28"/>
          <w:lang w:val="en-US" w:eastAsia="zh-CN"/>
        </w:rPr>
        <w:t>Introduction</w:t>
      </w:r>
    </w:p>
    <w:p w14:paraId="41AF626D">
      <w:pPr>
        <w:numPr>
          <w:ilvl w:val="0"/>
          <w:numId w:val="0"/>
        </w:numPr>
        <w:rPr>
          <w:rFonts w:hint="default" w:ascii="Times New Roman" w:hAnsi="Times New Roman" w:eastAsia="宋体" w:cs="Times New Roman"/>
          <w:b/>
          <w:bCs/>
          <w:color w:val="000000"/>
          <w:sz w:val="28"/>
          <w:szCs w:val="28"/>
          <w:lang w:val="en-US" w:eastAsia="zh-CN"/>
        </w:rPr>
      </w:pPr>
      <w:r>
        <w:rPr>
          <w:rFonts w:hint="default" w:ascii="Times New Roman" w:hAnsi="Times New Roman" w:eastAsia="宋体" w:cs="Times New Roman"/>
          <w:b/>
          <w:bCs/>
          <w:color w:val="000000"/>
          <w:sz w:val="28"/>
          <w:szCs w:val="28"/>
          <w:lang w:val="en-US" w:eastAsia="zh-CN"/>
        </w:rPr>
        <w:t xml:space="preserve">1.1 </w:t>
      </w:r>
      <w:r>
        <w:rPr>
          <w:rFonts w:hint="default" w:ascii="Times New Roman" w:hAnsi="Times New Roman" w:eastAsia="Calibri" w:cs="Times New Roman"/>
          <w:b/>
          <w:bCs/>
          <w:color w:val="000000"/>
          <w:sz w:val="28"/>
          <w:szCs w:val="28"/>
        </w:rPr>
        <w:t>Answering Crosthwaite (2023): Evolution, Not Replacement</w:t>
      </w:r>
    </w:p>
    <w:p w14:paraId="5AC465FF">
      <w:pPr>
        <w:ind w:firstLine="560" w:firstLineChars="200"/>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sz w:val="28"/>
          <w:szCs w:val="28"/>
        </w:rPr>
        <w:t xml:space="preserve">Crosthwaite (2023) poses a fundamental challenge to the language teaching profession: Does generative AI represent </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the death of DDL</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 xml:space="preserve"> by allowing learners to bypass the inductive pattern discovery processes central to Data-Driven Learning pedagogy? This paper argues the opposite—</w:t>
      </w:r>
      <w:r>
        <w:rPr>
          <w:rFonts w:hint="default" w:ascii="Times New Roman" w:hAnsi="Times New Roman" w:eastAsia="宋体" w:cs="Times New Roman"/>
          <w:color w:val="000000"/>
          <w:sz w:val="28"/>
          <w:szCs w:val="28"/>
          <w:lang w:val="en-US" w:eastAsia="zh-CN"/>
        </w:rPr>
        <w:t xml:space="preserve"> “</w:t>
      </w:r>
      <w:r>
        <w:rPr>
          <w:rFonts w:hint="default" w:ascii="Times New Roman" w:hAnsi="Times New Roman" w:eastAsia="Calibri" w:cs="Times New Roman"/>
          <w:b/>
          <w:bCs/>
          <w:color w:val="000000"/>
          <w:sz w:val="28"/>
          <w:szCs w:val="28"/>
        </w:rPr>
        <w:t>generative AI represents an evolution rather than replacement of DDL principles</w:t>
      </w:r>
      <w:r>
        <w:rPr>
          <w:rFonts w:hint="default" w:ascii="Times New Roman" w:hAnsi="Times New Roman" w:eastAsia="宋体" w:cs="Times New Roman"/>
          <w:b/>
          <w:bCs/>
          <w:color w:val="000000"/>
          <w:sz w:val="28"/>
          <w:szCs w:val="28"/>
          <w:lang w:val="en-US" w:eastAsia="zh-CN"/>
        </w:rPr>
        <w:t>”</w:t>
      </w:r>
      <w:r>
        <w:rPr>
          <w:rFonts w:hint="default" w:ascii="Times New Roman" w:hAnsi="Times New Roman" w:eastAsia="Calibri" w:cs="Times New Roman"/>
          <w:color w:val="000000"/>
          <w:sz w:val="28"/>
          <w:szCs w:val="28"/>
        </w:rPr>
        <w:t>, extending Johns</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 xml:space="preserve"> (1991) vision of learners as </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research workers</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 xml:space="preserve"> into dynamic, system-initiated pattern engagement that traditional corpus tools cannot provide.</w:t>
      </w:r>
    </w:p>
    <w:p w14:paraId="132D79E3">
      <w:pPr>
        <w:ind w:firstLine="560" w:firstLineChars="200"/>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sz w:val="28"/>
          <w:szCs w:val="28"/>
        </w:rPr>
        <w:t>We examine this proposition through</w:t>
      </w:r>
      <w:r>
        <w:rPr>
          <w:rFonts w:hint="default" w:ascii="Times New Roman" w:hAnsi="Times New Roman" w:eastAsia="宋体" w:cs="Times New Roman"/>
          <w:color w:val="000000"/>
          <w:sz w:val="28"/>
          <w:szCs w:val="28"/>
          <w:lang w:val="en-US" w:eastAsia="zh-CN"/>
        </w:rPr>
        <w:t xml:space="preserve"> AI-assisted</w:t>
      </w:r>
      <w:r>
        <w:rPr>
          <w:rFonts w:hint="default" w:ascii="Times New Roman" w:hAnsi="Times New Roman" w:eastAsia="Calibri" w:cs="Times New Roman"/>
          <w:color w:val="000000"/>
          <w:sz w:val="28"/>
          <w:szCs w:val="28"/>
        </w:rPr>
        <w:t xml:space="preserve"> L2 creative writing, where the tension between DDL principles and generative AI becomes most visible. Unlike discrete grammar or vocabulary tasks where corpus patterns offer clear guidance, creative writing demands that learners </w:t>
      </w:r>
      <w:r>
        <w:rPr>
          <w:rFonts w:hint="default" w:ascii="Times New Roman" w:hAnsi="Times New Roman" w:eastAsia="Calibri" w:cs="Times New Roman"/>
          <w:b/>
          <w:bCs/>
          <w:color w:val="000000"/>
          <w:sz w:val="28"/>
          <w:szCs w:val="28"/>
        </w:rPr>
        <w:t>discover generative possibilities</w:t>
      </w:r>
      <w:r>
        <w:rPr>
          <w:rFonts w:hint="default" w:ascii="Times New Roman" w:hAnsi="Times New Roman" w:eastAsia="宋体" w:cs="Times New Roman"/>
          <w:b/>
          <w:bCs/>
          <w:color w:val="000000"/>
          <w:sz w:val="28"/>
          <w:szCs w:val="28"/>
          <w:lang w:val="en-US" w:eastAsia="zh-CN"/>
        </w:rPr>
        <w:t xml:space="preserve"> </w:t>
      </w:r>
      <w:r>
        <w:rPr>
          <w:rFonts w:hint="default" w:ascii="Times New Roman" w:hAnsi="Times New Roman" w:eastAsia="Calibri" w:cs="Times New Roman"/>
          <w:color w:val="000000"/>
          <w:sz w:val="28"/>
          <w:szCs w:val="28"/>
        </w:rPr>
        <w:t xml:space="preserve">within linguistic constraints—a process that generative AI can either support through adaptive scaffolding or undermine through over-determination. Understanding </w:t>
      </w:r>
      <w:r>
        <w:rPr>
          <w:rFonts w:hint="default" w:ascii="Times New Roman" w:hAnsi="Times New Roman" w:eastAsia="Calibri" w:cs="Times New Roman"/>
          <w:i/>
          <w:iCs/>
          <w:color w:val="000000"/>
          <w:sz w:val="28"/>
          <w:szCs w:val="28"/>
        </w:rPr>
        <w:t>how</w:t>
      </w:r>
      <w:r>
        <w:rPr>
          <w:rFonts w:hint="default" w:ascii="Times New Roman" w:hAnsi="Times New Roman" w:eastAsia="Calibri" w:cs="Times New Roman"/>
          <w:b/>
          <w:bCs/>
          <w:color w:val="000000"/>
          <w:sz w:val="28"/>
          <w:szCs w:val="28"/>
        </w:rPr>
        <w:t xml:space="preserve"> AI enables </w:t>
      </w:r>
      <w:r>
        <w:rPr>
          <w:rFonts w:hint="default" w:ascii="Times New Roman" w:hAnsi="Times New Roman" w:eastAsia="Calibri" w:cs="Times New Roman"/>
          <w:i/>
          <w:iCs/>
          <w:color w:val="000000"/>
          <w:sz w:val="28"/>
          <w:szCs w:val="28"/>
        </w:rPr>
        <w:t>dynamic</w:t>
      </w:r>
      <w:r>
        <w:rPr>
          <w:rFonts w:hint="default" w:ascii="Times New Roman" w:hAnsi="Times New Roman" w:eastAsia="Calibri" w:cs="Times New Roman"/>
          <w:b/>
          <w:bCs/>
          <w:color w:val="000000"/>
          <w:sz w:val="28"/>
          <w:szCs w:val="28"/>
        </w:rPr>
        <w:t> DDL scaffolding</w:t>
      </w:r>
      <w:r>
        <w:rPr>
          <w:rFonts w:hint="default" w:ascii="Times New Roman" w:hAnsi="Times New Roman" w:eastAsia="Calibri" w:cs="Times New Roman"/>
          <w:color w:val="000000"/>
          <w:sz w:val="28"/>
          <w:szCs w:val="28"/>
        </w:rPr>
        <w:t> in creative contexts requires examining the fundamental differences between traditional corpus consultation and AI-mediated pattern engagement, and identifying the mechanisms through which AI's pedagogical affordances can be systematically shaped.</w:t>
      </w:r>
    </w:p>
    <w:p w14:paraId="7DB27981">
      <w:pPr>
        <w:rPr>
          <w:rFonts w:hint="default" w:ascii="Times New Roman" w:hAnsi="Times New Roman" w:eastAsia="宋体" w:cs="Times New Roman"/>
          <w:color w:val="000000"/>
          <w:sz w:val="28"/>
          <w:szCs w:val="28"/>
          <w:lang w:val="en-US" w:eastAsia="zh-CN"/>
        </w:rPr>
      </w:pPr>
      <w:r>
        <w:rPr>
          <w:rFonts w:hint="default" w:ascii="Times New Roman" w:hAnsi="Times New Roman" w:eastAsia="宋体" w:cs="Times New Roman"/>
          <w:color w:val="000000"/>
          <w:sz w:val="28"/>
          <w:szCs w:val="28"/>
          <w:lang w:val="en-US" w:eastAsia="zh-CN"/>
        </w:rPr>
        <w:t xml:space="preserve"> </w:t>
      </w:r>
    </w:p>
    <w:p w14:paraId="552F202B">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1.2 From Static Concordances to System-Initiated Pattern Presentation: DDL Principles in the Generative AI Era</w:t>
      </w:r>
    </w:p>
    <w:p w14:paraId="60994FF6">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3BADF858">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Data-Driven Learning (DDL), pioneered by Johns (1991) as “the use of concordance data in language learning,” has long championed inductive pattern discovery over deductive rule presentation. By engaging learners directly with corpus evidence—concordance lines, frequency distributions, collocational patterns—DDL transforms language pedagogy from teacher-transmitted knowledge to learner-discovered insights (Boulton, 2012). The pedagogical power of DDL lies in its emphasis on </w:t>
      </w:r>
      <w:r>
        <w:rPr>
          <w:rFonts w:hint="default" w:ascii="Times New Roman" w:hAnsi="Times New Roman" w:eastAsia="Calibri" w:cs="Times New Roman"/>
          <w:b/>
          <w:bCs/>
          <w:color w:val="000000"/>
          <w:kern w:val="0"/>
          <w:sz w:val="28"/>
          <w:szCs w:val="28"/>
          <w:lang w:val="en-US" w:eastAsia="zh-CN" w:bidi="ar"/>
        </w:rPr>
        <w:t>learner autonomy</w:t>
      </w:r>
      <w:r>
        <w:rPr>
          <w:rFonts w:hint="default" w:ascii="Times New Roman" w:hAnsi="Times New Roman" w:eastAsia="Calibri" w:cs="Times New Roman"/>
          <w:color w:val="000000"/>
          <w:kern w:val="0"/>
          <w:sz w:val="28"/>
          <w:szCs w:val="28"/>
          <w:lang w:val="en-US" w:eastAsia="zh-CN" w:bidi="ar"/>
        </w:rPr>
        <w:t xml:space="preserve"> and </w:t>
      </w:r>
      <w:r>
        <w:rPr>
          <w:rFonts w:hint="default" w:ascii="Times New Roman" w:hAnsi="Times New Roman" w:eastAsia="Calibri" w:cs="Times New Roman"/>
          <w:b/>
          <w:bCs/>
          <w:color w:val="000000"/>
          <w:kern w:val="0"/>
          <w:sz w:val="28"/>
          <w:szCs w:val="28"/>
          <w:lang w:val="en-US" w:eastAsia="zh-CN" w:bidi="ar"/>
        </w:rPr>
        <w:t>evidence-based discovery</w:t>
      </w:r>
      <w:r>
        <w:rPr>
          <w:rFonts w:hint="default" w:ascii="Times New Roman" w:hAnsi="Times New Roman" w:eastAsia="Calibri" w:cs="Times New Roman"/>
          <w:color w:val="000000"/>
          <w:kern w:val="0"/>
          <w:sz w:val="28"/>
          <w:szCs w:val="28"/>
          <w:lang w:val="en-US" w:eastAsia="zh-CN" w:bidi="ar"/>
        </w:rPr>
        <w:t>—principles that align closely with constructivist learning theory and sociocultural approaches to second language acquisition (Lantolf &amp; Thorne, 2006).</w:t>
      </w:r>
    </w:p>
    <w:p w14:paraId="2D9BCC26">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Traditional DDL positions learners as active </w:t>
      </w:r>
      <w:r>
        <w:rPr>
          <w:rFonts w:hint="default" w:ascii="Times New Roman" w:hAnsi="Times New Roman" w:eastAsia="Calibri" w:cs="Times New Roman"/>
          <w:b/>
          <w:bCs/>
          <w:color w:val="000000"/>
          <w:kern w:val="0"/>
          <w:sz w:val="28"/>
          <w:szCs w:val="28"/>
          <w:lang w:val="en-US" w:eastAsia="zh-CN" w:bidi="ar"/>
        </w:rPr>
        <w:t>query initiators</w:t>
      </w:r>
      <w:r>
        <w:rPr>
          <w:rFonts w:hint="default" w:ascii="Times New Roman" w:hAnsi="Times New Roman" w:eastAsia="Calibri" w:cs="Times New Roman"/>
          <w:color w:val="000000"/>
          <w:kern w:val="0"/>
          <w:sz w:val="28"/>
          <w:szCs w:val="28"/>
          <w:lang w:val="en-US" w:eastAsia="zh-CN" w:bidi="ar"/>
        </w:rPr>
        <w:t xml:space="preserve"> who formulate search criteria and interpret concordance results (Johns, 1991). This learner-driven approach, while fostering autonomy, imposes heavy cognitive demands: metalinguistic awareness to formulate queries, technical competence in corpus tools, and tolerance for data ambiguity (Sun &amp; Wang, 2003). Moreover, corpus data by definition represents </w:t>
      </w:r>
      <w:r>
        <w:rPr>
          <w:rFonts w:hint="default" w:ascii="Times New Roman" w:hAnsi="Times New Roman" w:eastAsia="Calibri" w:cs="Times New Roman"/>
          <w:b/>
          <w:bCs/>
          <w:color w:val="000000"/>
          <w:kern w:val="0"/>
          <w:sz w:val="28"/>
          <w:szCs w:val="28"/>
          <w:lang w:val="en-US" w:eastAsia="zh-CN" w:bidi="ar"/>
        </w:rPr>
        <w:t>patterns of what has been written</w:t>
      </w:r>
      <w:r>
        <w:rPr>
          <w:rFonts w:hint="default" w:ascii="Times New Roman" w:hAnsi="Times New Roman" w:eastAsia="Calibri" w:cs="Times New Roman"/>
          <w:color w:val="000000"/>
          <w:kern w:val="0"/>
          <w:sz w:val="28"/>
          <w:szCs w:val="28"/>
          <w:lang w:val="en-US" w:eastAsia="zh-CN" w:bidi="ar"/>
        </w:rPr>
        <w:t xml:space="preserve">, not necessarily what </w:t>
      </w:r>
      <w:r>
        <w:rPr>
          <w:rFonts w:hint="default" w:ascii="Times New Roman" w:hAnsi="Times New Roman" w:eastAsia="Calibri" w:cs="Times New Roman"/>
          <w:i/>
          <w:iCs/>
          <w:color w:val="000000"/>
          <w:kern w:val="0"/>
          <w:sz w:val="28"/>
          <w:szCs w:val="28"/>
          <w:lang w:val="en-US" w:eastAsia="zh-CN" w:bidi="ar"/>
        </w:rPr>
        <w:t>could</w:t>
      </w:r>
      <w:r>
        <w:rPr>
          <w:rFonts w:hint="default" w:ascii="Times New Roman" w:hAnsi="Times New Roman" w:eastAsia="Calibri" w:cs="Times New Roman"/>
          <w:color w:val="000000"/>
          <w:kern w:val="0"/>
          <w:sz w:val="28"/>
          <w:szCs w:val="28"/>
          <w:lang w:val="en-US" w:eastAsia="zh-CN" w:bidi="ar"/>
        </w:rPr>
        <w:t> be written—a limitation particularly salient in creative writing where novelty and originality are pedagogical goals.</w:t>
      </w:r>
    </w:p>
    <w:p w14:paraId="336AA9AB">
      <w:pPr>
        <w:ind w:firstLine="560" w:firstLineChars="200"/>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sz w:val="28"/>
          <w:szCs w:val="28"/>
        </w:rPr>
        <w:t xml:space="preserve">Generative AI fundamentally transforms this dynamic by enabling </w:t>
      </w:r>
      <w:r>
        <w:rPr>
          <w:rFonts w:hint="default" w:ascii="Times New Roman" w:hAnsi="Times New Roman" w:eastAsia="Calibri" w:cs="Times New Roman"/>
          <w:b/>
          <w:bCs/>
          <w:color w:val="000000"/>
          <w:sz w:val="28"/>
          <w:szCs w:val="28"/>
        </w:rPr>
        <w:t>system-initiated pattern presentation</w:t>
      </w:r>
      <w:r>
        <w:rPr>
          <w:rFonts w:hint="default" w:ascii="Times New Roman" w:hAnsi="Times New Roman" w:eastAsia="Calibri" w:cs="Times New Roman"/>
          <w:color w:val="000000"/>
          <w:sz w:val="28"/>
          <w:szCs w:val="28"/>
        </w:rPr>
        <w:t xml:space="preserve">. Rather than learners searching corpora for patterns, AI proactively generates contextually relevant examples, corrections, or alternatives in real-time conversational exchanges. This shift from </w:t>
      </w:r>
      <w:r>
        <w:rPr>
          <w:rFonts w:hint="default" w:ascii="Times New Roman" w:hAnsi="Times New Roman" w:eastAsia="Calibri" w:cs="Times New Roman"/>
          <w:b/>
          <w:bCs/>
          <w:color w:val="000000"/>
          <w:sz w:val="28"/>
          <w:szCs w:val="28"/>
        </w:rPr>
        <w:t>learner-initiated queries to system-initiated presentations</w:t>
      </w:r>
      <w:r>
        <w:rPr>
          <w:rFonts w:hint="default" w:ascii="Times New Roman" w:hAnsi="Times New Roman" w:eastAsia="Calibri" w:cs="Times New Roman"/>
          <w:color w:val="000000"/>
          <w:sz w:val="28"/>
          <w:szCs w:val="28"/>
        </w:rPr>
        <w:t> represents a fundamental reconceptualization of DDL:</w:t>
      </w:r>
    </w:p>
    <w:p w14:paraId="54F91D78">
      <w:pPr>
        <w:ind w:firstLine="560" w:firstLineChars="200"/>
        <w:rPr>
          <w:rFonts w:hint="default" w:ascii="Times New Roman" w:hAnsi="Times New Roman" w:eastAsia="Calibri" w:cs="Times New Roman"/>
          <w:color w:val="000000"/>
          <w:sz w:val="28"/>
          <w:szCs w:val="28"/>
        </w:rPr>
      </w:pPr>
    </w:p>
    <w:p w14:paraId="3DA22ADC">
      <w:pPr>
        <w:ind w:firstLine="560" w:firstLineChars="200"/>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In traditional DDL</w:t>
      </w:r>
      <w:r>
        <w:rPr>
          <w:rFonts w:hint="default" w:ascii="Times New Roman" w:hAnsi="Times New Roman" w:eastAsia="Calibri" w:cs="Times New Roman"/>
          <w:color w:val="000000"/>
          <w:kern w:val="0"/>
          <w:sz w:val="28"/>
          <w:szCs w:val="28"/>
          <w:lang w:val="en-US" w:eastAsia="zh-CN" w:bidi="ar"/>
        </w:rPr>
        <w:t xml:space="preserve">: Learners decide </w:t>
      </w:r>
      <w:r>
        <w:rPr>
          <w:rFonts w:hint="default" w:ascii="Times New Roman" w:hAnsi="Times New Roman" w:eastAsia="Calibri" w:cs="Times New Roman"/>
          <w:i/>
          <w:iCs/>
          <w:color w:val="000000"/>
          <w:kern w:val="0"/>
          <w:sz w:val="28"/>
          <w:szCs w:val="28"/>
          <w:lang w:val="en-US" w:eastAsia="zh-CN" w:bidi="ar"/>
        </w:rPr>
        <w:t>what</w:t>
      </w:r>
      <w:r>
        <w:rPr>
          <w:rFonts w:hint="default" w:ascii="Times New Roman" w:hAnsi="Times New Roman" w:eastAsia="Calibri" w:cs="Times New Roman"/>
          <w:color w:val="000000"/>
          <w:kern w:val="0"/>
          <w:sz w:val="28"/>
          <w:szCs w:val="28"/>
          <w:lang w:val="en-US" w:eastAsia="zh-CN" w:bidi="ar"/>
        </w:rPr>
        <w:t xml:space="preserve"> to search for, </w:t>
      </w:r>
      <w:r>
        <w:rPr>
          <w:rFonts w:hint="default" w:ascii="Times New Roman" w:hAnsi="Times New Roman" w:eastAsia="Calibri" w:cs="Times New Roman"/>
          <w:i/>
          <w:iCs/>
          <w:color w:val="000000"/>
          <w:kern w:val="0"/>
          <w:sz w:val="28"/>
          <w:szCs w:val="28"/>
          <w:lang w:val="en-US" w:eastAsia="zh-CN" w:bidi="ar"/>
        </w:rPr>
        <w:t>when</w:t>
      </w:r>
      <w:r>
        <w:rPr>
          <w:rFonts w:hint="default" w:ascii="Times New Roman" w:hAnsi="Times New Roman" w:eastAsia="Calibri" w:cs="Times New Roman"/>
          <w:color w:val="000000"/>
          <w:kern w:val="0"/>
          <w:sz w:val="28"/>
          <w:szCs w:val="28"/>
          <w:lang w:val="en-US" w:eastAsia="zh-CN" w:bidi="ar"/>
        </w:rPr>
        <w:t xml:space="preserve"> to query the corpus, and </w:t>
      </w:r>
      <w:r>
        <w:rPr>
          <w:rFonts w:hint="default" w:ascii="Times New Roman" w:hAnsi="Times New Roman" w:eastAsia="Calibri" w:cs="Times New Roman"/>
          <w:i/>
          <w:iCs/>
          <w:color w:val="000000"/>
          <w:kern w:val="0"/>
          <w:sz w:val="28"/>
          <w:szCs w:val="28"/>
          <w:lang w:val="en-US" w:eastAsia="zh-CN" w:bidi="ar"/>
        </w:rPr>
        <w:t>how</w:t>
      </w:r>
      <w:r>
        <w:rPr>
          <w:rFonts w:hint="default" w:ascii="Times New Roman" w:hAnsi="Times New Roman" w:eastAsia="Calibri" w:cs="Times New Roman"/>
          <w:color w:val="000000"/>
          <w:kern w:val="0"/>
          <w:sz w:val="28"/>
          <w:szCs w:val="28"/>
          <w:lang w:val="en-US" w:eastAsia="zh-CN" w:bidi="ar"/>
        </w:rPr>
        <w:t> to interpret concordance results. The corpus remains passive; learner agency drives the discovery process.</w:t>
      </w:r>
    </w:p>
    <w:p w14:paraId="22949A22">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w:t>
      </w:r>
    </w:p>
    <w:p w14:paraId="603A3305">
      <w:pPr>
        <w:keepNext w:val="0"/>
        <w:keepLines w:val="0"/>
        <w:widowControl/>
        <w:suppressLineNumbers w:val="0"/>
        <w:spacing w:line="143" w:lineRule="atLeast"/>
        <w:ind w:firstLine="560" w:firstLineChars="200"/>
        <w:jc w:val="left"/>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b/>
          <w:bCs/>
          <w:color w:val="000000"/>
          <w:kern w:val="0"/>
          <w:sz w:val="28"/>
          <w:szCs w:val="28"/>
          <w:lang w:val="en-US" w:eastAsia="zh-CN" w:bidi="ar"/>
        </w:rPr>
        <w:t>In AI-assisted DDL</w:t>
      </w:r>
      <w:r>
        <w:rPr>
          <w:rFonts w:hint="default" w:ascii="Times New Roman" w:hAnsi="Times New Roman" w:eastAsia="Calibri" w:cs="Times New Roman"/>
          <w:color w:val="000000"/>
          <w:kern w:val="0"/>
          <w:sz w:val="28"/>
          <w:szCs w:val="28"/>
          <w:lang w:val="en-US" w:eastAsia="zh-CN" w:bidi="ar"/>
        </w:rPr>
        <w:t xml:space="preserve">: The system decides </w:t>
      </w:r>
      <w:r>
        <w:rPr>
          <w:rFonts w:hint="default" w:ascii="Times New Roman" w:hAnsi="Times New Roman" w:eastAsia="Calibri" w:cs="Times New Roman"/>
          <w:i/>
          <w:iCs/>
          <w:color w:val="000000"/>
          <w:kern w:val="0"/>
          <w:sz w:val="28"/>
          <w:szCs w:val="28"/>
          <w:lang w:val="en-US" w:eastAsia="zh-CN" w:bidi="ar"/>
        </w:rPr>
        <w:t>when</w:t>
      </w:r>
      <w:r>
        <w:rPr>
          <w:rFonts w:hint="default" w:ascii="Times New Roman" w:hAnsi="Times New Roman" w:eastAsia="Calibri" w:cs="Times New Roman"/>
          <w:color w:val="000000"/>
          <w:kern w:val="0"/>
          <w:sz w:val="28"/>
          <w:szCs w:val="28"/>
          <w:lang w:val="en-US" w:eastAsia="zh-CN" w:bidi="ar"/>
        </w:rPr>
        <w:t xml:space="preserve"> to intervene, </w:t>
      </w:r>
      <w:r>
        <w:rPr>
          <w:rFonts w:hint="default" w:ascii="Times New Roman" w:hAnsi="Times New Roman" w:eastAsia="Calibri" w:cs="Times New Roman"/>
          <w:i/>
          <w:iCs/>
          <w:color w:val="000000"/>
          <w:kern w:val="0"/>
          <w:sz w:val="28"/>
          <w:szCs w:val="28"/>
          <w:lang w:val="en-US" w:eastAsia="zh-CN" w:bidi="ar"/>
        </w:rPr>
        <w:t>what</w:t>
      </w:r>
      <w:r>
        <w:rPr>
          <w:rFonts w:hint="default" w:ascii="Times New Roman" w:hAnsi="Times New Roman" w:eastAsia="Calibri" w:cs="Times New Roman"/>
          <w:color w:val="000000"/>
          <w:kern w:val="0"/>
          <w:sz w:val="28"/>
          <w:szCs w:val="28"/>
          <w:lang w:val="en-US" w:eastAsia="zh-CN" w:bidi="ar"/>
        </w:rPr>
        <w:t xml:space="preserve"> patterns to present, and </w:t>
      </w:r>
      <w:r>
        <w:rPr>
          <w:rFonts w:hint="default" w:ascii="Times New Roman" w:hAnsi="Times New Roman" w:eastAsia="Calibri" w:cs="Times New Roman"/>
          <w:i/>
          <w:iCs/>
          <w:color w:val="000000"/>
          <w:kern w:val="0"/>
          <w:sz w:val="28"/>
          <w:szCs w:val="28"/>
          <w:lang w:val="en-US" w:eastAsia="zh-CN" w:bidi="ar"/>
        </w:rPr>
        <w:t>how</w:t>
      </w:r>
      <w:r>
        <w:rPr>
          <w:rFonts w:hint="default" w:ascii="Times New Roman" w:hAnsi="Times New Roman" w:eastAsia="Calibri" w:cs="Times New Roman"/>
          <w:color w:val="000000"/>
          <w:kern w:val="0"/>
          <w:sz w:val="28"/>
          <w:szCs w:val="28"/>
          <w:lang w:val="en-US" w:eastAsia="zh-CN" w:bidi="ar"/>
        </w:rPr>
        <w:t> to frame linguistic information. AI actively shapes the learning trajectory through real-time responsiveness.</w:t>
      </w:r>
    </w:p>
    <w:p w14:paraId="5445CEF7">
      <w:pPr>
        <w:keepNext w:val="0"/>
        <w:keepLines w:val="0"/>
        <w:widowControl/>
        <w:suppressLineNumbers w:val="0"/>
        <w:spacing w:line="143" w:lineRule="atLeast"/>
        <w:ind w:firstLine="560" w:firstLineChars="200"/>
        <w:jc w:val="left"/>
        <w:rPr>
          <w:rFonts w:hint="default" w:ascii="Times New Roman" w:hAnsi="Times New Roman" w:eastAsia="Calibri" w:cs="Times New Roman"/>
          <w:color w:val="000000"/>
          <w:kern w:val="0"/>
          <w:sz w:val="28"/>
          <w:szCs w:val="28"/>
          <w:lang w:val="en-US" w:eastAsia="zh-CN" w:bidi="ar"/>
        </w:rPr>
      </w:pPr>
    </w:p>
    <w:p w14:paraId="76ED3A94">
      <w:pPr>
        <w:ind w:firstLine="560" w:firstLineChars="200"/>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sz w:val="28"/>
          <w:szCs w:val="28"/>
        </w:rPr>
        <w:t>This transformation addresses traditional DDL</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 xml:space="preserve">s cognitive overload and technical barriers (Bernardini, 2004; Crosthwaite, 2023) by providing </w:t>
      </w:r>
      <w:r>
        <w:rPr>
          <w:rFonts w:hint="default" w:ascii="Times New Roman" w:hAnsi="Times New Roman" w:eastAsia="Calibri" w:cs="Times New Roman"/>
          <w:b/>
          <w:bCs/>
          <w:color w:val="000000"/>
          <w:sz w:val="28"/>
          <w:szCs w:val="28"/>
        </w:rPr>
        <w:t>scaffolded, contextualized pattern engagement</w:t>
      </w:r>
      <w:r>
        <w:rPr>
          <w:rFonts w:hint="default" w:ascii="Times New Roman" w:hAnsi="Times New Roman" w:eastAsia="Calibri" w:cs="Times New Roman"/>
          <w:color w:val="000000"/>
          <w:sz w:val="28"/>
          <w:szCs w:val="28"/>
        </w:rPr>
        <w:t xml:space="preserve"> rather than requiring learners to independently navigate large corpora. However, it also introduces critical pedagogical questions: When AI presents patterns without learner queries, does this bypass inductive discovery? When AI generates novel text rather than retrieving corpus examples, does this violate DDL's evidence-based foundation? Most importantly, </w:t>
      </w:r>
      <w:r>
        <w:rPr>
          <w:rFonts w:hint="default" w:ascii="Times New Roman" w:hAnsi="Times New Roman" w:eastAsia="Calibri" w:cs="Times New Roman"/>
          <w:i/>
          <w:iCs/>
          <w:color w:val="000000"/>
          <w:sz w:val="28"/>
          <w:szCs w:val="28"/>
        </w:rPr>
        <w:t>how</w:t>
      </w:r>
      <w:r>
        <w:rPr>
          <w:rFonts w:hint="default" w:ascii="Times New Roman" w:hAnsi="Times New Roman" w:eastAsia="Calibri" w:cs="Times New Roman"/>
          <w:b/>
          <w:bCs/>
          <w:color w:val="000000"/>
          <w:sz w:val="28"/>
          <w:szCs w:val="28"/>
        </w:rPr>
        <w:t xml:space="preserve"> can AI-mediated pattern presentation be </w:t>
      </w:r>
      <w:r>
        <w:rPr>
          <w:rFonts w:hint="default" w:ascii="Times New Roman" w:hAnsi="Times New Roman" w:eastAsia="Calibri" w:cs="Times New Roman"/>
          <w:i/>
          <w:iCs/>
          <w:color w:val="000000"/>
          <w:sz w:val="28"/>
          <w:szCs w:val="28"/>
        </w:rPr>
        <w:t>dynamically</w:t>
      </w:r>
      <w:r>
        <w:rPr>
          <w:rFonts w:hint="default" w:ascii="Times New Roman" w:hAnsi="Times New Roman" w:eastAsia="宋体" w:cs="Times New Roman"/>
          <w:i/>
          <w:iCs/>
          <w:color w:val="000000"/>
          <w:sz w:val="28"/>
          <w:szCs w:val="28"/>
          <w:lang w:val="en-US" w:eastAsia="zh-CN"/>
        </w:rPr>
        <w:t xml:space="preserve"> </w:t>
      </w:r>
      <w:r>
        <w:rPr>
          <w:rFonts w:hint="default" w:ascii="Times New Roman" w:hAnsi="Times New Roman" w:eastAsia="Calibri" w:cs="Times New Roman"/>
          <w:b/>
          <w:bCs/>
          <w:color w:val="000000"/>
          <w:sz w:val="28"/>
          <w:szCs w:val="28"/>
        </w:rPr>
        <w:t>adapted</w:t>
      </w:r>
      <w:r>
        <w:rPr>
          <w:rFonts w:hint="default" w:ascii="Times New Roman" w:hAnsi="Times New Roman" w:eastAsia="Calibri" w:cs="Times New Roman"/>
          <w:color w:val="000000"/>
          <w:sz w:val="28"/>
          <w:szCs w:val="28"/>
        </w:rPr>
        <w:t> to provide appropriate scaffolding—supportive without over-determining, generative without overwhelming—across different learning contexts and learner needs?</w:t>
      </w:r>
    </w:p>
    <w:p w14:paraId="2D70BBCB">
      <w:pPr>
        <w:rPr>
          <w:rFonts w:hint="default" w:ascii="Times New Roman" w:hAnsi="Times New Roman" w:eastAsia="Calibri" w:cs="Times New Roman"/>
          <w:color w:val="000000"/>
          <w:sz w:val="28"/>
          <w:szCs w:val="28"/>
        </w:rPr>
      </w:pPr>
    </w:p>
    <w:p w14:paraId="286AEF20">
      <w:pPr>
        <w:rPr>
          <w:rFonts w:hint="default" w:ascii="Times New Roman" w:hAnsi="Times New Roman" w:eastAsia="宋体" w:cs="Times New Roman"/>
          <w:color w:val="000000"/>
          <w:sz w:val="28"/>
          <w:szCs w:val="28"/>
          <w:lang w:val="en-US" w:eastAsia="zh-CN"/>
        </w:rPr>
      </w:pPr>
      <w:r>
        <w:rPr>
          <w:rFonts w:hint="default" w:ascii="Times New Roman" w:hAnsi="Times New Roman" w:eastAsia="宋体" w:cs="Times New Roman"/>
          <w:b/>
          <w:bCs/>
          <w:color w:val="000000"/>
          <w:sz w:val="28"/>
          <w:szCs w:val="28"/>
          <w:lang w:val="en-US" w:eastAsia="zh-CN"/>
        </w:rPr>
        <w:t xml:space="preserve">1.3 </w:t>
      </w:r>
      <w:r>
        <w:rPr>
          <w:rFonts w:hint="default" w:ascii="Times New Roman" w:hAnsi="Times New Roman" w:eastAsia="Calibri" w:cs="Times New Roman"/>
          <w:b/>
          <w:bCs/>
          <w:color w:val="000000"/>
          <w:sz w:val="28"/>
          <w:szCs w:val="28"/>
        </w:rPr>
        <w:t>Scaffolding Theory and L2 Creative Writing: The Need for Adaptive Support</w:t>
      </w:r>
    </w:p>
    <w:p w14:paraId="7A914CC4">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63B28D01">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Scaffolding, originally conceptualized by Wood, Bruner, and Ross (1976), describes temporary support structures that enable learners to accomplish tasks beyond their independent capability, gradually fading as competence develops. In L2 writing contexts, effective scaffolding must balance multiple dimensions: linguistic support (vocabulary, grammar, discourse features), cognitive support (organizational strategies, ideation techniques), and affective support (encouragement, confidence-building, emotional safety) (Lantolf &amp; Thorne, 2006; Van de Pol, Volman, &amp; Beishuizen, 2010).</w:t>
      </w:r>
    </w:p>
    <w:p w14:paraId="6E948CC7">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2C9FE1F2">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Creative writing in L2 contexts presents unique scaffolding challenges. Unlike academic or transactional writing where conventions are relatively stable, creative writing demands both “pattern adherence” (mastery of poetic forms, literary devices, genre conventions) and “pattern transcendence” (original expression, personal voice, aesthetic innovation). This dual requirement creates what Hanauer (2010) terms the “imitation-transformation dialectic”: learners must internalize exemplars while simultaneously developing authentic creative agency. Traditional scaffolding approaches often struggle with this tension—too much structure risks formulaic output and diminished authorship; too little risks cognitive overload and linguistic breakdown (Fithriani, 2021; Kerbs, McQueston, &amp; Lawrance, 2024).</w:t>
      </w:r>
    </w:p>
    <w:p w14:paraId="18783D4A">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3F0B49DE">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 xml:space="preserve">Moreover, structured creative scaffolding itself poses risks: overly prescribed approaches may inhibit students’ geniune expression of voice, when learners fear making errors or expressing vulnerable content (Hanauer, 2010). interrupting the free flow of creative thought essential to authentic poetry writing. What L2 creative writing pedagogy ultimately seeks is an emotionally safe creative atmosphere—one where learners feel free to experiment without fear of instructor judgment or peer comparison, where linguistic limitations do not become barriers to creative exploration. These questions become urgent as AI writing assistants enter L2 classrooms, potentially transforming scaffolding dynamics while offering new possibilities for balancing structure with </w:t>
      </w:r>
      <w:bookmarkStart w:id="0" w:name="_GoBack"/>
      <w:r>
        <w:rPr>
          <w:rFonts w:hint="default" w:ascii="Times New Roman" w:hAnsi="Times New Roman" w:eastAsia="Calibri" w:cs="Times New Roman"/>
          <w:b w:val="0"/>
          <w:bCs w:val="0"/>
          <w:color w:val="000000"/>
          <w:kern w:val="0"/>
          <w:sz w:val="28"/>
          <w:szCs w:val="28"/>
          <w:lang w:val="en-US" w:eastAsia="zh-CN" w:bidi="ar"/>
        </w:rPr>
        <w:t xml:space="preserve">creative freedom. </w:t>
      </w:r>
    </w:p>
    <w:bookmarkEnd w:id="0"/>
    <w:p w14:paraId="6EA06AA0">
      <w:pPr>
        <w:rPr>
          <w:rFonts w:hint="default" w:ascii="Times New Roman" w:hAnsi="Times New Roman" w:eastAsia="宋体" w:cs="Times New Roman"/>
          <w:color w:val="000000"/>
          <w:sz w:val="28"/>
          <w:szCs w:val="28"/>
          <w:lang w:val="en-US" w:eastAsia="zh-CN"/>
        </w:rPr>
      </w:pPr>
      <w:r>
        <w:rPr>
          <w:rFonts w:hint="default" w:ascii="Times New Roman" w:hAnsi="Times New Roman" w:eastAsia="宋体" w:cs="Times New Roman"/>
          <w:color w:val="000000"/>
          <w:sz w:val="28"/>
          <w:szCs w:val="28"/>
          <w:lang w:val="en-US" w:eastAsia="zh-CN"/>
        </w:rPr>
        <w:t xml:space="preserve">  </w:t>
      </w:r>
    </w:p>
    <w:p w14:paraId="1DE3A6C9">
      <w:pPr>
        <w:keepNext w:val="0"/>
        <w:keepLines w:val="0"/>
        <w:widowControl/>
        <w:suppressLineNumbers w:val="0"/>
        <w:spacing w:line="143" w:lineRule="atLeast"/>
        <w:jc w:val="left"/>
        <w:rPr>
          <w:rFonts w:hint="default" w:ascii="Times New Roman" w:hAnsi="Times New Roman" w:eastAsia="Calibri" w:cs="Times New Roman"/>
          <w:b/>
          <w:bCs/>
          <w:color w:val="000000"/>
          <w:sz w:val="28"/>
          <w:szCs w:val="28"/>
        </w:rPr>
      </w:pPr>
      <w:r>
        <w:rPr>
          <w:rFonts w:hint="default" w:ascii="Times New Roman" w:hAnsi="Times New Roman" w:eastAsia="Calibri" w:cs="Times New Roman"/>
          <w:b/>
          <w:bCs/>
          <w:color w:val="000000"/>
          <w:kern w:val="0"/>
          <w:sz w:val="28"/>
          <w:szCs w:val="28"/>
          <w:lang w:val="en-US" w:eastAsia="zh-CN" w:bidi="ar"/>
        </w:rPr>
        <w:t>1.4 A Three-Interaction-Types Framework: How Parameter Configuration Shapes DDL-Scaffolding Modes</w:t>
      </w:r>
    </w:p>
    <w:p w14:paraId="12B837F7">
      <w:pPr>
        <w:keepNext w:val="0"/>
        <w:keepLines w:val="0"/>
        <w:widowControl/>
        <w:suppressLineNumbers w:val="0"/>
        <w:spacing w:line="143" w:lineRule="atLeast"/>
        <w:jc w:val="left"/>
        <w:rPr>
          <w:rFonts w:hint="default" w:ascii="Times New Roman" w:hAnsi="Times New Roman" w:eastAsia="Calibri" w:cs="Times New Roman"/>
          <w:b w:val="0"/>
          <w:bCs w:val="0"/>
          <w:color w:val="000000"/>
          <w:sz w:val="28"/>
          <w:szCs w:val="28"/>
        </w:rPr>
      </w:pPr>
    </w:p>
    <w:p w14:paraId="26697FA8">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 xml:space="preserve">To understand </w:t>
      </w:r>
      <w:r>
        <w:rPr>
          <w:rFonts w:hint="default" w:ascii="Times New Roman" w:hAnsi="Times New Roman" w:eastAsia="Calibri" w:cs="Times New Roman"/>
          <w:b w:val="0"/>
          <w:bCs w:val="0"/>
          <w:i/>
          <w:iCs/>
          <w:color w:val="000000"/>
          <w:kern w:val="0"/>
          <w:sz w:val="28"/>
          <w:szCs w:val="28"/>
          <w:lang w:val="en-US" w:eastAsia="zh-CN" w:bidi="ar"/>
        </w:rPr>
        <w:t xml:space="preserve">how </w:t>
      </w:r>
      <w:r>
        <w:rPr>
          <w:rFonts w:hint="default" w:ascii="Times New Roman" w:hAnsi="Times New Roman" w:eastAsia="Calibri" w:cs="Times New Roman"/>
          <w:b w:val="0"/>
          <w:bCs w:val="0"/>
          <w:color w:val="000000"/>
          <w:kern w:val="0"/>
          <w:sz w:val="28"/>
          <w:szCs w:val="28"/>
          <w:lang w:val="en-US" w:eastAsia="zh-CN" w:bidi="ar"/>
        </w:rPr>
        <w:t xml:space="preserve">AI-mediated DDL operates </w:t>
      </w:r>
      <w:r>
        <w:rPr>
          <w:rFonts w:hint="default" w:ascii="Times New Roman" w:hAnsi="Times New Roman" w:eastAsia="Calibri" w:cs="Times New Roman"/>
          <w:b w:val="0"/>
          <w:bCs w:val="0"/>
          <w:i/>
          <w:iCs/>
          <w:color w:val="000000"/>
          <w:kern w:val="0"/>
          <w:sz w:val="28"/>
          <w:szCs w:val="28"/>
          <w:lang w:val="en-US" w:eastAsia="zh-CN" w:bidi="ar"/>
        </w:rPr>
        <w:t>dynamically</w:t>
      </w:r>
      <w:r>
        <w:rPr>
          <w:rFonts w:hint="default" w:ascii="Times New Roman" w:hAnsi="Times New Roman" w:eastAsia="Calibri" w:cs="Times New Roman"/>
          <w:b w:val="0"/>
          <w:bCs w:val="0"/>
          <w:color w:val="000000"/>
          <w:kern w:val="0"/>
          <w:sz w:val="28"/>
          <w:szCs w:val="28"/>
          <w:lang w:val="en-US" w:eastAsia="zh-CN" w:bidi="ar"/>
        </w:rPr>
        <w:t xml:space="preserve"> in creative writing contexts, we propose a “three-interaction-types framework” that integrates DDL principles, scaffolding theory, and human-AI collaboration research. Recent studies provide empirical foundations: Coenen et al. (2022) identified “serendipitous discovery” as crucial for productive human-AI collaboration; Qian et al. (2023) demonstrated AI’s capacity to redistribute cognitive load; Li (2025) found that generative AI shifts writers toward strategic collaboration. However, these studies treat AI as monolithic rather than examining </w:t>
      </w:r>
      <w:r>
        <w:rPr>
          <w:rFonts w:hint="default" w:ascii="Times New Roman" w:hAnsi="Times New Roman" w:eastAsia="Calibri" w:cs="Times New Roman"/>
          <w:b w:val="0"/>
          <w:bCs w:val="0"/>
          <w:i/>
          <w:iCs/>
          <w:color w:val="000000"/>
          <w:kern w:val="0"/>
          <w:sz w:val="28"/>
          <w:szCs w:val="28"/>
          <w:lang w:val="en-US" w:eastAsia="zh-CN" w:bidi="ar"/>
        </w:rPr>
        <w:t xml:space="preserve">how </w:t>
      </w:r>
      <w:r>
        <w:rPr>
          <w:rFonts w:hint="default" w:ascii="Times New Roman" w:hAnsi="Times New Roman" w:eastAsia="Calibri" w:cs="Times New Roman"/>
          <w:b w:val="0"/>
          <w:bCs w:val="0"/>
          <w:color w:val="000000"/>
          <w:kern w:val="0"/>
          <w:sz w:val="28"/>
          <w:szCs w:val="28"/>
          <w:lang w:val="en-US" w:eastAsia="zh-CN" w:bidi="ar"/>
        </w:rPr>
        <w:t>different AI configurations produce distinct interaction patterns with different pedagogical affordances.</w:t>
      </w:r>
    </w:p>
    <w:p w14:paraId="7E55541D">
      <w:pPr>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sz w:val="28"/>
          <w:szCs w:val="28"/>
        </w:rPr>
        <w:t>Our framework addresses this gap by revealing the mechanism through which AI can</w:t>
      </w:r>
      <w:r>
        <w:rPr>
          <w:rFonts w:hint="default" w:ascii="Times New Roman" w:hAnsi="Times New Roman" w:eastAsia="宋体" w:cs="Times New Roman"/>
          <w:b w:val="0"/>
          <w:bCs w:val="0"/>
          <w:color w:val="000000"/>
          <w:sz w:val="28"/>
          <w:szCs w:val="28"/>
          <w:lang w:val="en-US" w:eastAsia="zh-CN"/>
        </w:rPr>
        <w:t xml:space="preserve"> </w:t>
      </w:r>
      <w:r>
        <w:rPr>
          <w:rFonts w:hint="default" w:ascii="Times New Roman" w:hAnsi="Times New Roman" w:eastAsia="宋体" w:cs="Times New Roman"/>
          <w:b w:val="0"/>
          <w:bCs w:val="0"/>
          <w:i/>
          <w:iCs/>
          <w:color w:val="000000"/>
          <w:sz w:val="28"/>
          <w:szCs w:val="28"/>
          <w:lang w:val="en-US" w:eastAsia="zh-CN"/>
        </w:rPr>
        <w:t>d</w:t>
      </w:r>
      <w:r>
        <w:rPr>
          <w:rFonts w:hint="default" w:ascii="Times New Roman" w:hAnsi="Times New Roman" w:eastAsia="Calibri" w:cs="Times New Roman"/>
          <w:b w:val="0"/>
          <w:bCs w:val="0"/>
          <w:i/>
          <w:iCs/>
          <w:color w:val="000000"/>
          <w:sz w:val="28"/>
          <w:szCs w:val="28"/>
        </w:rPr>
        <w:t>ynamically</w:t>
      </w:r>
      <w:r>
        <w:rPr>
          <w:rFonts w:hint="default" w:ascii="Times New Roman" w:hAnsi="Times New Roman" w:eastAsia="Calibri" w:cs="Times New Roman"/>
          <w:b w:val="0"/>
          <w:bCs w:val="0"/>
          <w:color w:val="000000"/>
          <w:sz w:val="28"/>
          <w:szCs w:val="28"/>
        </w:rPr>
        <w:t> adapt scaffolding: parameter configuration (specifically temperature and top-p settings) systematically shapes interaction type distributions. Lower parameter values (e.g., temperature 0.3, top-p 0.4) produce deterministic, corpus-typical outputs aligned with training data patterns; higher values (e.g., temperature 0.8, top-p 0.9) generate variable, exploratory outputs extending beyond corpus frequencies (Holtzman et al., 2019; Li et al., 2025; Peeperkorn et al., 2024). This technical mechanism enables pedagogical adaptivity: parameter manipulation functions as a design lever for shifting between different DDL-scaffolding modes.</w:t>
      </w:r>
    </w:p>
    <w:p w14:paraId="0C8F1532">
      <w:pPr>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sz w:val="28"/>
          <w:szCs w:val="28"/>
        </w:rPr>
        <w:t xml:space="preserve">We theorize three interaction types as </w:t>
      </w:r>
      <w:r>
        <w:rPr>
          <w:rFonts w:hint="default" w:ascii="Times New Roman" w:hAnsi="Times New Roman" w:eastAsia="宋体" w:cs="Times New Roman"/>
          <w:b w:val="0"/>
          <w:bCs w:val="0"/>
          <w:color w:val="000000"/>
          <w:sz w:val="28"/>
          <w:szCs w:val="28"/>
          <w:lang w:val="en-US" w:eastAsia="zh-CN"/>
        </w:rPr>
        <w:t>“</w:t>
      </w:r>
      <w:r>
        <w:rPr>
          <w:rFonts w:hint="default" w:ascii="Times New Roman" w:hAnsi="Times New Roman" w:eastAsia="Calibri" w:cs="Times New Roman"/>
          <w:b w:val="0"/>
          <w:bCs w:val="0"/>
          <w:color w:val="000000"/>
          <w:sz w:val="28"/>
          <w:szCs w:val="28"/>
        </w:rPr>
        <w:t>parameter-dependent DDL-scaffolding modes</w:t>
      </w:r>
      <w:r>
        <w:rPr>
          <w:rFonts w:hint="default" w:ascii="Times New Roman" w:hAnsi="Times New Roman" w:eastAsia="宋体" w:cs="Times New Roman"/>
          <w:b w:val="0"/>
          <w:bCs w:val="0"/>
          <w:color w:val="000000"/>
          <w:sz w:val="28"/>
          <w:szCs w:val="28"/>
          <w:lang w:val="en-US" w:eastAsia="zh-CN"/>
        </w:rPr>
        <w:t>”</w:t>
      </w:r>
      <w:r>
        <w:rPr>
          <w:rFonts w:hint="default" w:ascii="Times New Roman" w:hAnsi="Times New Roman" w:eastAsia="Calibri" w:cs="Times New Roman"/>
          <w:b w:val="0"/>
          <w:bCs w:val="0"/>
          <w:color w:val="000000"/>
          <w:sz w:val="28"/>
          <w:szCs w:val="28"/>
        </w:rPr>
        <w:t>, each serving distinct pedagogical functions:</w:t>
      </w:r>
    </w:p>
    <w:p w14:paraId="540297DA">
      <w:pPr>
        <w:numPr>
          <w:ilvl w:val="0"/>
          <w:numId w:val="2"/>
        </w:numPr>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bCs/>
          <w:color w:val="000000"/>
          <w:sz w:val="28"/>
          <w:szCs w:val="28"/>
        </w:rPr>
        <w:t>Type A</w:t>
      </w:r>
      <w:r>
        <w:rPr>
          <w:rFonts w:hint="default" w:ascii="Times New Roman" w:hAnsi="Times New Roman" w:eastAsia="宋体" w:cs="Times New Roman"/>
          <w:b/>
          <w:bCs/>
          <w:color w:val="000000"/>
          <w:sz w:val="28"/>
          <w:szCs w:val="28"/>
          <w:lang w:val="en-US" w:eastAsia="zh-CN"/>
        </w:rPr>
        <w:t xml:space="preserve"> </w:t>
      </w:r>
      <w:r>
        <w:rPr>
          <w:rFonts w:hint="default" w:ascii="Times New Roman" w:hAnsi="Times New Roman" w:eastAsia="Calibri" w:cs="Times New Roman"/>
          <w:b/>
          <w:bCs/>
          <w:color w:val="000000"/>
          <w:kern w:val="0"/>
          <w:sz w:val="28"/>
          <w:szCs w:val="28"/>
          <w:lang w:val="en-US" w:eastAsia="zh-CN" w:bidi="ar"/>
        </w:rPr>
        <w:t>Constraint Repair</w:t>
      </w:r>
      <w:r>
        <w:rPr>
          <w:rFonts w:hint="default" w:ascii="Times New Roman" w:hAnsi="Times New Roman" w:eastAsia="Calibri" w:cs="Times New Roman"/>
          <w:b w:val="0"/>
          <w:bCs w:val="0"/>
          <w:color w:val="000000"/>
          <w:sz w:val="28"/>
          <w:szCs w:val="28"/>
        </w:rPr>
        <w:t xml:space="preserve"> interactions occur when AI identifies deviations from linguistic or structural patterns and provides corrective guidance. This parallels traditional DDL</w:t>
      </w:r>
      <w:r>
        <w:rPr>
          <w:rFonts w:hint="default" w:ascii="Times New Roman" w:hAnsi="Times New Roman" w:eastAsia="宋体" w:cs="Times New Roman"/>
          <w:b w:val="0"/>
          <w:bCs w:val="0"/>
          <w:color w:val="000000"/>
          <w:sz w:val="28"/>
          <w:szCs w:val="28"/>
          <w:lang w:val="en-US" w:eastAsia="zh-CN"/>
        </w:rPr>
        <w:t>’</w:t>
      </w:r>
      <w:r>
        <w:rPr>
          <w:rFonts w:hint="default" w:ascii="Times New Roman" w:hAnsi="Times New Roman" w:eastAsia="Calibri" w:cs="Times New Roman"/>
          <w:b w:val="0"/>
          <w:bCs w:val="0"/>
          <w:color w:val="000000"/>
          <w:sz w:val="28"/>
          <w:szCs w:val="28"/>
        </w:rPr>
        <w:t>s use of concordance lines to establish grammatical rules or collocation patterns, but occurs proactively and contextually rather than through learner-initiated corpus queries. Aligned with Lyster and Ranta</w:t>
      </w:r>
      <w:r>
        <w:rPr>
          <w:rFonts w:hint="default" w:ascii="Times New Roman" w:hAnsi="Times New Roman" w:eastAsia="宋体" w:cs="Times New Roman"/>
          <w:b w:val="0"/>
          <w:bCs w:val="0"/>
          <w:color w:val="000000"/>
          <w:sz w:val="28"/>
          <w:szCs w:val="28"/>
          <w:lang w:val="en-US" w:eastAsia="zh-CN"/>
        </w:rPr>
        <w:t>’</w:t>
      </w:r>
      <w:r>
        <w:rPr>
          <w:rFonts w:hint="default" w:ascii="Times New Roman" w:hAnsi="Times New Roman" w:eastAsia="Calibri" w:cs="Times New Roman"/>
          <w:b w:val="0"/>
          <w:bCs w:val="0"/>
          <w:color w:val="000000"/>
          <w:sz w:val="28"/>
          <w:szCs w:val="28"/>
        </w:rPr>
        <w:t>s (1997) corrective feedback taxonomy, Type A functions as a diagnostic tool that surfaces areas requiring attention, enabling focused revision.</w:t>
      </w:r>
      <w:r>
        <w:rPr>
          <w:rFonts w:hint="default" w:ascii="Times New Roman" w:hAnsi="Times New Roman" w:eastAsia="Calibri" w:cs="Times New Roman"/>
          <w:b w:val="0"/>
          <w:bCs w:val="0"/>
          <w:color w:val="000000"/>
          <w:kern w:val="0"/>
          <w:sz w:val="28"/>
          <w:szCs w:val="28"/>
          <w:lang w:val="en-US" w:eastAsia="zh-CN" w:bidi="ar"/>
        </w:rPr>
        <w:t xml:space="preserve"> Type A represents “normative pattern reinforcement”: AI draws on corpus-derived knowledge to guide learners toward conventional usage—functioning as high-frequency pattern reinforcement similar to concordance-based DDL but delivered proactively. This is particularly valuable for form-focused instruction in creative writing—helping learners master syllable counts in haiku, rhyme schemes in sonnets, or grammatical accuracy in free verse.</w:t>
      </w:r>
    </w:p>
    <w:p w14:paraId="21A589FF">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kern w:val="0"/>
          <w:sz w:val="28"/>
          <w:szCs w:val="28"/>
          <w:lang w:val="en-US" w:eastAsia="zh-CN" w:bidi="ar"/>
        </w:rPr>
      </w:pPr>
      <w:r>
        <w:rPr>
          <w:rFonts w:hint="default" w:ascii="Times New Roman" w:hAnsi="Times New Roman" w:eastAsia="Calibri" w:cs="Times New Roman"/>
          <w:b w:val="0"/>
          <w:bCs w:val="0"/>
          <w:color w:val="000000"/>
          <w:kern w:val="0"/>
          <w:sz w:val="28"/>
          <w:szCs w:val="28"/>
          <w:lang w:val="en-US" w:eastAsia="zh-CN" w:bidi="ar"/>
        </w:rPr>
        <w:t>Parameter Effect on Type A: Low parameter values (structured settings: temperature 0.3, top-p 0.4) maximize Type A frequency by constraining AI outputs to corpus-typical patterns, emphasizing error detection and normative correction. This provides heavy scaffolding through constraint-focused feedback but may stifle creative risk-taking (Ferris, 2004; Bitchener &amp; Ferris, 2012).</w:t>
      </w:r>
    </w:p>
    <w:p w14:paraId="254C7E51">
      <w:pPr>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sz w:val="28"/>
          <w:szCs w:val="28"/>
        </w:rPr>
        <w:t>Scaffolding Characteristics: Type A is high-directive</w:t>
      </w:r>
      <w:r>
        <w:rPr>
          <w:rFonts w:hint="default" w:ascii="Times New Roman" w:hAnsi="Times New Roman" w:eastAsia="宋体" w:cs="Times New Roman"/>
          <w:b w:val="0"/>
          <w:bCs w:val="0"/>
          <w:color w:val="000000"/>
          <w:sz w:val="28"/>
          <w:szCs w:val="28"/>
          <w:lang w:val="en-US" w:eastAsia="zh-CN"/>
        </w:rPr>
        <w:t xml:space="preserve"> </w:t>
      </w:r>
      <w:r>
        <w:rPr>
          <w:rFonts w:hint="default" w:ascii="Times New Roman" w:hAnsi="Times New Roman" w:eastAsia="Calibri" w:cs="Times New Roman"/>
          <w:b w:val="0"/>
          <w:bCs w:val="0"/>
          <w:color w:val="000000"/>
          <w:sz w:val="28"/>
          <w:szCs w:val="28"/>
        </w:rPr>
        <w:t>(AI determines what needs fixing) and low-autonomy (learner response is corrective rather than generative). This supports form accuracy but may create dependency on external</w:t>
      </w:r>
    </w:p>
    <w:p w14:paraId="0F96A0AB">
      <w:pPr>
        <w:numPr>
          <w:ilvl w:val="0"/>
          <w:numId w:val="2"/>
        </w:numPr>
        <w:ind w:left="0" w:leftChars="0"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bCs/>
          <w:color w:val="000000"/>
          <w:sz w:val="28"/>
          <w:szCs w:val="28"/>
        </w:rPr>
        <w:t>Type B</w:t>
      </w:r>
      <w:r>
        <w:rPr>
          <w:rFonts w:hint="default" w:ascii="Times New Roman" w:hAnsi="Times New Roman" w:eastAsia="宋体" w:cs="Times New Roman"/>
          <w:b/>
          <w:bCs/>
          <w:color w:val="000000"/>
          <w:sz w:val="28"/>
          <w:szCs w:val="28"/>
          <w:lang w:val="en-US" w:eastAsia="zh-CN"/>
        </w:rPr>
        <w:t xml:space="preserve"> </w:t>
      </w:r>
      <w:r>
        <w:rPr>
          <w:rFonts w:hint="default" w:ascii="Times New Roman" w:hAnsi="Times New Roman" w:eastAsia="Calibri" w:cs="Times New Roman"/>
          <w:b/>
          <w:bCs/>
          <w:color w:val="000000"/>
          <w:kern w:val="0"/>
          <w:sz w:val="28"/>
          <w:szCs w:val="28"/>
          <w:lang w:val="en-US" w:eastAsia="zh-CN" w:bidi="ar"/>
        </w:rPr>
        <w:t>Exemplar Giving</w:t>
      </w:r>
      <w:r>
        <w:rPr>
          <w:rFonts w:hint="default" w:ascii="Times New Roman" w:hAnsi="Times New Roman" w:eastAsia="Calibri" w:cs="Times New Roman"/>
          <w:b w:val="0"/>
          <w:bCs w:val="0"/>
          <w:color w:val="000000"/>
          <w:sz w:val="28"/>
          <w:szCs w:val="28"/>
        </w:rPr>
        <w:t xml:space="preserve"> interactions occur when AI provides model texts, phrase options, or line alternatives that learners can select and adapt. This aligns with Hanauer</w:t>
      </w:r>
      <w:r>
        <w:rPr>
          <w:rFonts w:hint="default" w:ascii="Times New Roman" w:hAnsi="Times New Roman" w:eastAsia="宋体" w:cs="Times New Roman"/>
          <w:b w:val="0"/>
          <w:bCs w:val="0"/>
          <w:color w:val="000000"/>
          <w:sz w:val="28"/>
          <w:szCs w:val="28"/>
          <w:lang w:val="en-US" w:eastAsia="zh-CN"/>
        </w:rPr>
        <w:t>’</w:t>
      </w:r>
      <w:r>
        <w:rPr>
          <w:rFonts w:hint="default" w:ascii="Times New Roman" w:hAnsi="Times New Roman" w:eastAsia="Calibri" w:cs="Times New Roman"/>
          <w:b w:val="0"/>
          <w:bCs w:val="0"/>
          <w:color w:val="000000"/>
          <w:sz w:val="28"/>
          <w:szCs w:val="28"/>
        </w:rPr>
        <w:t>s (2010) imitation-transformation pedagogy and resonates with genre pedagogy</w:t>
      </w:r>
      <w:r>
        <w:rPr>
          <w:rFonts w:hint="default" w:ascii="Times New Roman" w:hAnsi="Times New Roman" w:eastAsia="宋体" w:cs="Times New Roman"/>
          <w:b w:val="0"/>
          <w:bCs w:val="0"/>
          <w:color w:val="000000"/>
          <w:sz w:val="28"/>
          <w:szCs w:val="28"/>
          <w:lang w:val="en-US" w:eastAsia="zh-CN"/>
        </w:rPr>
        <w:t xml:space="preserve"> </w:t>
      </w:r>
      <w:r>
        <w:rPr>
          <w:rFonts w:hint="default" w:ascii="Times New Roman" w:hAnsi="Times New Roman" w:eastAsia="Calibri" w:cs="Times New Roman"/>
          <w:b w:val="0"/>
          <w:bCs w:val="0"/>
          <w:color w:val="000000"/>
          <w:sz w:val="28"/>
          <w:szCs w:val="28"/>
        </w:rPr>
        <w:t>approaches (Hyland, 2007) and text-modeling practices (Tardy, 2006) in L2 writing. Type B embodies DDL</w:t>
      </w:r>
      <w:r>
        <w:rPr>
          <w:rFonts w:hint="default" w:ascii="Times New Roman" w:hAnsi="Times New Roman" w:eastAsia="宋体" w:cs="Times New Roman"/>
          <w:b w:val="0"/>
          <w:bCs w:val="0"/>
          <w:color w:val="000000"/>
          <w:sz w:val="28"/>
          <w:szCs w:val="28"/>
          <w:lang w:val="en-US" w:eastAsia="zh-CN"/>
        </w:rPr>
        <w:t>’</w:t>
      </w:r>
      <w:r>
        <w:rPr>
          <w:rFonts w:hint="default" w:ascii="Times New Roman" w:hAnsi="Times New Roman" w:eastAsia="Calibri" w:cs="Times New Roman"/>
          <w:b w:val="0"/>
          <w:bCs w:val="0"/>
          <w:color w:val="000000"/>
          <w:sz w:val="28"/>
          <w:szCs w:val="28"/>
        </w:rPr>
        <w:t>s exemplar principle: learners encounter language patterns—in this case, AI-generated exemplars—and appropriate features for their own purposes. correction rather than developing internal monitoring capabilities.</w:t>
      </w:r>
      <w:r>
        <w:rPr>
          <w:rFonts w:hint="default" w:ascii="Times New Roman" w:hAnsi="Times New Roman" w:eastAsia="宋体" w:cs="Times New Roman"/>
          <w:b w:val="0"/>
          <w:bCs w:val="0"/>
          <w:color w:val="000000"/>
          <w:sz w:val="28"/>
          <w:szCs w:val="28"/>
          <w:lang w:val="en-US" w:eastAsia="zh-CN"/>
        </w:rPr>
        <w:t xml:space="preserve"> </w:t>
      </w:r>
      <w:r>
        <w:rPr>
          <w:rFonts w:hint="default" w:ascii="Times New Roman" w:hAnsi="Times New Roman" w:eastAsia="Calibri" w:cs="Times New Roman"/>
          <w:b w:val="0"/>
          <w:bCs w:val="0"/>
          <w:color w:val="000000"/>
          <w:kern w:val="0"/>
          <w:sz w:val="28"/>
          <w:szCs w:val="28"/>
          <w:lang w:val="en-US" w:eastAsia="zh-CN" w:bidi="ar"/>
        </w:rPr>
        <w:t>The pedagogical appeal of Type B is substantial: it reduces cognitive load by providing concrete starting points, offers diverse stylistic models that learners might not encounter in limited classroom resources, and enables safe experimentation where learners can compare options before committing. However, Type B also introduces a critical tension. Unlike traditional DDL where learners actively search and select from large corpora, AI’s Type B interactions present pre-selected, constrained option sets that fundamentally alter the learning dynamic from active exploration to guided selection.</w:t>
      </w:r>
    </w:p>
    <w:p w14:paraId="4D9AB03A">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Parameter Effect on Type B: Low parameter values (structured settings) also increase Type B frequency by generating conventional, corpus-typical exemplars. When combined with Type A dominance, this creates what we term the “helpful but alienating” paradox—AI provides immediately useful support (high accessibility) while diminishing authorship perception (low agency). Learners may select from AI-generated options rather than generating language themselves, bypassing the transformation process central to DDL pedagogy.</w:t>
      </w:r>
    </w:p>
    <w:p w14:paraId="4801666F">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Scaffolding Characteristics: Type B involves moderate directiveness (AI provides options but learner chooses) and moderate autonomy (learner makes decisions within constrained sets). This supports creative accessibility but risks passive selection over active creation, potentially undermining the creative agency that makes poetry writing pedagogically valuable for L2 development.</w:t>
      </w:r>
    </w:p>
    <w:p w14:paraId="5D1B67E1">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7CD8D55C">
      <w:pPr>
        <w:keepNext w:val="0"/>
        <w:keepLines w:val="0"/>
        <w:widowControl/>
        <w:numPr>
          <w:ilvl w:val="0"/>
          <w:numId w:val="2"/>
        </w:numPr>
        <w:suppressLineNumbers w:val="0"/>
        <w:spacing w:line="143" w:lineRule="atLeast"/>
        <w:ind w:left="0" w:leftChars="0"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bCs/>
          <w:color w:val="000000"/>
          <w:kern w:val="0"/>
          <w:sz w:val="28"/>
          <w:szCs w:val="28"/>
          <w:lang w:val="en-US" w:eastAsia="zh-CN" w:bidi="ar"/>
        </w:rPr>
        <w:t>Type C Surprise Harvest</w:t>
      </w:r>
      <w:r>
        <w:rPr>
          <w:rFonts w:hint="default" w:ascii="Times New Roman" w:hAnsi="Times New Roman" w:eastAsia="Calibri" w:cs="Times New Roman"/>
          <w:b w:val="0"/>
          <w:bCs w:val="0"/>
          <w:color w:val="000000"/>
          <w:kern w:val="0"/>
          <w:sz w:val="28"/>
          <w:szCs w:val="28"/>
          <w:lang w:val="en-US" w:eastAsia="zh-CN" w:bidi="ar"/>
        </w:rPr>
        <w:t xml:space="preserve"> interactions occur when AI generates unexpected content—ideas, metaphors, framings, or directions—that learners had not considered and would not have discovered through conventional corpus consultation. This aligns with Coenen et al.’s (2022) serendipitous discovery concept in human-AI co-creativity and resonates with theories of divergent thinking (Guilford, 1967) and the role of novelty in creative processes (Boden, 2004).</w:t>
      </w:r>
    </w:p>
    <w:p w14:paraId="651DB1F5">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 xml:space="preserve">Type C represents a fundamental departure from traditional DDL: rather than revealing patterns </w:t>
      </w:r>
      <w:r>
        <w:rPr>
          <w:rFonts w:hint="default" w:ascii="Times New Roman" w:hAnsi="Times New Roman" w:eastAsia="Calibri" w:cs="Times New Roman"/>
          <w:b w:val="0"/>
          <w:bCs w:val="0"/>
          <w:i/>
          <w:iCs/>
          <w:color w:val="000000"/>
          <w:kern w:val="0"/>
          <w:sz w:val="28"/>
          <w:szCs w:val="28"/>
          <w:lang w:val="en-US" w:eastAsia="zh-CN" w:bidi="ar"/>
        </w:rPr>
        <w:t>within</w:t>
      </w:r>
      <w:r>
        <w:rPr>
          <w:rFonts w:hint="default" w:ascii="Times New Roman" w:hAnsi="Times New Roman" w:eastAsia="Calibri" w:cs="Times New Roman"/>
          <w:b w:val="0"/>
          <w:bCs w:val="0"/>
          <w:color w:val="000000"/>
          <w:kern w:val="0"/>
          <w:sz w:val="28"/>
          <w:szCs w:val="28"/>
          <w:lang w:val="en-US" w:eastAsia="zh-CN" w:bidi="ar"/>
        </w:rPr>
        <w:t xml:space="preserve"> corpus data, AI generates possibilities </w:t>
      </w:r>
      <w:r>
        <w:rPr>
          <w:rFonts w:hint="default" w:ascii="Times New Roman" w:hAnsi="Times New Roman" w:eastAsia="Calibri" w:cs="Times New Roman"/>
          <w:b w:val="0"/>
          <w:bCs w:val="0"/>
          <w:i/>
          <w:iCs/>
          <w:color w:val="000000"/>
          <w:kern w:val="0"/>
          <w:sz w:val="28"/>
          <w:szCs w:val="28"/>
          <w:lang w:val="en-US" w:eastAsia="zh-CN" w:bidi="ar"/>
        </w:rPr>
        <w:t>beyond</w:t>
      </w:r>
      <w:r>
        <w:rPr>
          <w:rFonts w:hint="default" w:ascii="Times New Roman" w:hAnsi="Times New Roman" w:eastAsia="Calibri" w:cs="Times New Roman"/>
          <w:b w:val="0"/>
          <w:bCs w:val="0"/>
          <w:color w:val="000000"/>
          <w:kern w:val="0"/>
          <w:sz w:val="28"/>
          <w:szCs w:val="28"/>
          <w:lang w:val="en-US" w:eastAsia="zh-CN" w:bidi="ar"/>
        </w:rPr>
        <w:t> corpus frequencies through pattern extension and creative divergence. This unique capability emerges when LLMs recombine learned patterns in novel ways. For L2 creative writers, Type C offers transformative potential: unexpected suggestions can overcome lexical fixedness, challenge cultural or linguistic assumptions, expand creative search spaces, and provide entry points into more sophisticated expression (Shneiderman, 2007).</w:t>
      </w:r>
    </w:p>
    <w:p w14:paraId="2E934F4B">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Parameter Effect on Type C: High parameter values (exploratory settings: temperature 0.8, top-p 0.9) dramatically increase Type C frequency by enabling corpus-divergent generation that extends beyond training data frequencies. This parameter manipulation enables AI to function not as pattern-reinforcer (Type A) or pattern-provider (Type B) but as pattern-extender—a role impossible in static corpus DDL. Preliminary findings suggest 7× higher Type C frequency in exploratory conditions (35% vs. 5%), fundamentally transforming the creative collaboration dynamic.</w:t>
      </w:r>
    </w:p>
    <w:p w14:paraId="14149418">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Scaffolding Characteristics: Type C is low-directive (AI proposes but doesn’t prescribe) and high-autonomy (learner determines how/whether to incorporate suggestions). This provides light scaffolding supporting creative expansion and critical judgment, but demands higher metacognitive capacity to assess relevance and fit. Surprise can be productive (inspiring breakthrough insights) or disruptive (confusing learners), with effectiveness potentially depending on learner readiness and proficiency levels.</w:t>
      </w:r>
    </w:p>
    <w:p w14:paraId="02C0B85E">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This parameter-interaction relationship has profound implications: parameter configuration shapes whether AI functions as corrective tutor (Type A), exemplar provider (Type B), or creative collaborator (Type C), directly impacting learner agency, creative satisfaction, and the inductive discovery processes central to DDL pedagogy. Unlike commercial AI tools with fixed, hidden parameters, parameter awareness and manipulation enable adaptive DDL scaffolding tailored to pedagogical contexts..</w:t>
      </w:r>
    </w:p>
    <w:p w14:paraId="07227578">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28BBFE10">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10412F9C">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Our research is guided by three questions:</w:t>
      </w:r>
    </w:p>
    <w:p w14:paraId="3220206E">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51DED0E6">
      <w:pPr>
        <w:keepNext w:val="0"/>
        <w:keepLines w:val="0"/>
        <w:widowControl/>
        <w:suppressLineNumbers w:val="0"/>
        <w:spacing w:line="143" w:lineRule="atLeast"/>
        <w:jc w:val="both"/>
        <w:rPr>
          <w:rFonts w:hint="default" w:ascii="Times New Roman" w:hAnsi="Times New Roman" w:eastAsia="Calibri" w:cs="Times New Roman"/>
          <w:b/>
          <w:bCs/>
          <w:color w:val="000000"/>
          <w:sz w:val="28"/>
          <w:szCs w:val="28"/>
        </w:rPr>
      </w:pPr>
      <w:r>
        <w:rPr>
          <w:rFonts w:hint="default" w:ascii="Times New Roman" w:hAnsi="Times New Roman" w:eastAsia="Calibri" w:cs="Times New Roman"/>
          <w:b/>
          <w:bCs/>
          <w:color w:val="000000"/>
          <w:kern w:val="0"/>
          <w:sz w:val="28"/>
          <w:szCs w:val="28"/>
          <w:lang w:val="en-US" w:eastAsia="zh-CN" w:bidi="ar"/>
        </w:rPr>
        <w:t>RQ1: How do different parameter configurations affect the distribution of interaction types (Constraint Repair, Exemplar Giving, Surprise Harvest) in AI-assisted L2 poetry writing?</w:t>
      </w:r>
    </w:p>
    <w:p w14:paraId="1E2BB0A6">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29E04E84">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We hypothesize that low-temperature settings will generate predominantly Type A and Type B interactions (pattern reinforcement and exemplar provision), while high-temperature settings will enable significantly higher Type C frequency (exploratory divergence). This prediction derives from temperature's technical function: lower values constrain outputs to corpus-typical patterns, while higher values increase generative variability.</w:t>
      </w:r>
    </w:p>
    <w:p w14:paraId="23E96793">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4CF09984">
      <w:pPr>
        <w:keepNext w:val="0"/>
        <w:keepLines w:val="0"/>
        <w:widowControl/>
        <w:suppressLineNumbers w:val="0"/>
        <w:spacing w:line="143" w:lineRule="atLeast"/>
        <w:jc w:val="both"/>
        <w:rPr>
          <w:rFonts w:hint="default" w:ascii="Times New Roman" w:hAnsi="Times New Roman" w:eastAsia="Calibri" w:cs="Times New Roman"/>
          <w:b/>
          <w:bCs/>
          <w:color w:val="000000"/>
          <w:sz w:val="28"/>
          <w:szCs w:val="28"/>
        </w:rPr>
      </w:pPr>
      <w:r>
        <w:rPr>
          <w:rFonts w:hint="default" w:ascii="Times New Roman" w:hAnsi="Times New Roman" w:eastAsia="Calibri" w:cs="Times New Roman"/>
          <w:b/>
          <w:bCs/>
          <w:color w:val="000000"/>
          <w:kern w:val="0"/>
          <w:sz w:val="28"/>
          <w:szCs w:val="28"/>
          <w:lang w:val="en-US" w:eastAsia="zh-CN" w:bidi="ar"/>
        </w:rPr>
        <w:t>RQ2: How do these interaction types influence L2 learners’ authorship perception, creative satisfaction, and sense of agency in collaborative poetry writing?</w:t>
      </w:r>
    </w:p>
    <w:p w14:paraId="12ECDF75">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0311A916">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We hypothesize that Type C presence will strongly predict higher authorship perception and creative satisfaction, while Type B dominance will correlate with diminished authorship despite high perceived helpfulness. This paradox—helpful but alienating scaffolding—reflects the tension between accessibility and agency documented in scaffolding research (Wood et al., 1976; Van de Pol et al., 2010).</w:t>
      </w:r>
    </w:p>
    <w:p w14:paraId="079C06B5">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1A971BB7">
      <w:pPr>
        <w:keepNext w:val="0"/>
        <w:keepLines w:val="0"/>
        <w:widowControl/>
        <w:suppressLineNumbers w:val="0"/>
        <w:spacing w:line="143" w:lineRule="atLeast"/>
        <w:jc w:val="both"/>
        <w:rPr>
          <w:rFonts w:hint="default" w:ascii="Times New Roman" w:hAnsi="Times New Roman" w:eastAsia="Calibri" w:cs="Times New Roman"/>
          <w:b/>
          <w:bCs/>
          <w:color w:val="000000"/>
          <w:sz w:val="28"/>
          <w:szCs w:val="28"/>
        </w:rPr>
      </w:pPr>
      <w:r>
        <w:rPr>
          <w:rFonts w:hint="default" w:ascii="Times New Roman" w:hAnsi="Times New Roman" w:eastAsia="Calibri" w:cs="Times New Roman"/>
          <w:b/>
          <w:bCs/>
          <w:color w:val="000000"/>
          <w:kern w:val="0"/>
          <w:sz w:val="28"/>
          <w:szCs w:val="28"/>
          <w:lang w:val="en-US" w:eastAsia="zh-CN" w:bidi="ar"/>
        </w:rPr>
        <w:t>RQ3: What are the pedagogical implications of parameter configuration as a design lever for adaptive DDL in L2 creative writing?</w:t>
      </w:r>
    </w:p>
    <w:p w14:paraId="156E8B8A">
      <w:pPr>
        <w:keepNext w:val="0"/>
        <w:keepLines w:val="0"/>
        <w:widowControl/>
        <w:suppressLineNumbers w:val="0"/>
        <w:spacing w:line="143" w:lineRule="atLeast"/>
        <w:jc w:val="both"/>
        <w:rPr>
          <w:rFonts w:hint="default" w:ascii="Times New Roman" w:hAnsi="Times New Roman" w:eastAsia="Calibri" w:cs="Times New Roman"/>
          <w:b/>
          <w:bCs/>
          <w:color w:val="000000"/>
          <w:sz w:val="28"/>
          <w:szCs w:val="28"/>
        </w:rPr>
      </w:pPr>
    </w:p>
    <w:p w14:paraId="07C746BE">
      <w:pPr>
        <w:keepNext w:val="0"/>
        <w:keepLines w:val="0"/>
        <w:widowControl/>
        <w:suppressLineNumbers w:val="0"/>
        <w:spacing w:line="143" w:lineRule="atLeast"/>
        <w:ind w:firstLine="280" w:firstLineChars="1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This question explores whether parameter manipulation can serve as a mechanism for adaptive scaffolding—adjusting AI behavior to match task phases, learner proficiency, and pedagogical goals. We investigate whether awareness of parameter effects enables learners to develop AI literacy and make informed decisions about when different scaffolding types serve their learning needs.</w:t>
      </w:r>
    </w:p>
    <w:p w14:paraId="4C31F21F">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196B2180">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This study contributes to three intersecting research domains:</w:t>
      </w:r>
    </w:p>
    <w:p w14:paraId="1592B04D">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0D539D5D">
      <w:pPr>
        <w:keepNext w:val="0"/>
        <w:keepLines w:val="0"/>
        <w:widowControl/>
        <w:suppressLineNumbers w:val="0"/>
        <w:spacing w:line="143" w:lineRule="atLeast"/>
        <w:ind w:firstLine="280" w:firstLineChars="1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For DDL research: We extend data-driven learning principles from static corpus consultation to dynamic, generative AI interaction. We address Crosthwaite’s (2023) concern that generative AI might bypass inductive learning by investigating which parameter configurations preserve learner agency in pattern discovery versus which promote passive consumption. Our prompt-designed platform provides the methodological infrastructure to trace these dynamics empirically.</w:t>
      </w:r>
    </w:p>
    <w:p w14:paraId="2B6AC081">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105A8E55">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 xml:space="preserve">For scaffolding research: We operationalize scaffolding through interaction type distribution, demonstrating </w:t>
      </w:r>
      <w:r>
        <w:rPr>
          <w:rFonts w:hint="default" w:ascii="Times New Roman" w:hAnsi="Times New Roman" w:eastAsia="Calibri" w:cs="Times New Roman"/>
          <w:b w:val="0"/>
          <w:bCs w:val="0"/>
          <w:i/>
          <w:iCs/>
          <w:color w:val="000000"/>
          <w:kern w:val="0"/>
          <w:sz w:val="28"/>
          <w:szCs w:val="28"/>
          <w:lang w:val="en-US" w:eastAsia="zh-CN" w:bidi="ar"/>
        </w:rPr>
        <w:t>how</w:t>
      </w:r>
      <w:r>
        <w:rPr>
          <w:rFonts w:hint="default" w:ascii="Times New Roman" w:hAnsi="Times New Roman" w:eastAsia="Calibri" w:cs="Times New Roman"/>
          <w:b w:val="0"/>
          <w:bCs w:val="0"/>
          <w:color w:val="000000"/>
          <w:kern w:val="0"/>
          <w:sz w:val="28"/>
          <w:szCs w:val="28"/>
          <w:lang w:val="en-US" w:eastAsia="zh-CN" w:bidi="ar"/>
        </w:rPr>
        <w:t> adaptive support emerges from parameter manipulation rather than remaining fixed. We contribute evidence on the scaffolding-autonomy trade-off in creative contexts, examining when different support levels enhance versus constrain learning outcomes. Our chatbot platform enables systematic investigation of scaffolding contingency, fading, and autonomy transfer through recordable interaction patterns.</w:t>
      </w:r>
    </w:p>
    <w:p w14:paraId="70BE8846">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6F2EC487">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 xml:space="preserve">For AI-assisted writing research: We demonstrate that parameter configuration constitutes pedagogical design, not merely technical implementation. By revealing </w:t>
      </w:r>
      <w:r>
        <w:rPr>
          <w:rFonts w:hint="default" w:ascii="Times New Roman" w:hAnsi="Times New Roman" w:eastAsia="Calibri" w:cs="Times New Roman"/>
          <w:b w:val="0"/>
          <w:bCs w:val="0"/>
          <w:i/>
          <w:iCs/>
          <w:color w:val="000000"/>
          <w:kern w:val="0"/>
          <w:sz w:val="28"/>
          <w:szCs w:val="28"/>
          <w:lang w:val="en-US" w:eastAsia="zh-CN" w:bidi="ar"/>
        </w:rPr>
        <w:t>how</w:t>
      </w:r>
      <w:r>
        <w:rPr>
          <w:rFonts w:hint="default" w:ascii="Times New Roman" w:hAnsi="Times New Roman" w:eastAsia="Calibri" w:cs="Times New Roman"/>
          <w:b w:val="0"/>
          <w:bCs w:val="0"/>
          <w:color w:val="000000"/>
          <w:kern w:val="0"/>
          <w:sz w:val="28"/>
          <w:szCs w:val="28"/>
          <w:lang w:val="en-US" w:eastAsia="zh-CN" w:bidi="ar"/>
        </w:rPr>
        <w:t> temperature settings systematically shape interaction patterns, we establish parameter literacy as essential competence for educators integrating AI tools into L2 creative writing instruction. Our platform's complete interaction logging provides unprecedented visibility into the mechanisms through which parameter choices determine pedagogical affordances.</w:t>
      </w:r>
    </w:p>
    <w:p w14:paraId="1B4B8FD6">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54F2886F">
      <w:pPr>
        <w:keepNext w:val="0"/>
        <w:keepLines w:val="0"/>
        <w:widowControl/>
        <w:suppressLineNumbers w:val="0"/>
        <w:spacing w:line="143" w:lineRule="atLeast"/>
        <w:ind w:firstLine="280" w:firstLineChars="1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The integration of these three domains enables us to ask fundamental questions about the future of technology-mediated language learning: Can AI provide the pattern-based induction of DDL, the adaptive support of effective scaffolding, and the creative inspiration necessary for authentic literary expression—simultaneously and appropriately? Or do inherent tensions among these goals require careful calibration, deliberate trade-offs, and perhaps reconceptualization of what “successfu” AI-assisted creative writing entails?</w:t>
      </w:r>
    </w:p>
    <w:p w14:paraId="006D6602">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6529B14E">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The preliminary findings from our Session 1 data (10 participants) suggest that these questions have empirical answers with significant pedagogical implications—answers we now turn to explore through systematic analysis of interaction patterns, learner perceptions, and creative outcomes in our AI-assisted L2 poetry writing study.</w:t>
      </w:r>
    </w:p>
    <w:p w14:paraId="1D22F90B">
      <w:pPr>
        <w:ind w:firstLine="560" w:firstLineChars="200"/>
        <w:jc w:val="both"/>
        <w:rPr>
          <w:rFonts w:hint="default" w:ascii="Times New Roman" w:hAnsi="Times New Roman" w:eastAsia="Calibri" w:cs="Times New Roman"/>
          <w:b w:val="0"/>
          <w:bCs w:val="0"/>
          <w:color w:val="000000"/>
          <w:sz w:val="28"/>
          <w:szCs w:val="28"/>
          <w:lang w:val="en-US" w:eastAsia="zh-CN"/>
        </w:rPr>
      </w:pPr>
    </w:p>
    <w:p w14:paraId="0354E6C1">
      <w:pPr>
        <w:jc w:val="both"/>
        <w:rPr>
          <w:rFonts w:hint="default" w:ascii="Times New Roman" w:hAnsi="Times New Roman" w:eastAsia="Calibri" w:cs="Times New Roman"/>
          <w:b w:val="0"/>
          <w:bCs w:val="0"/>
          <w:color w:val="000000"/>
          <w:sz w:val="28"/>
          <w:szCs w:val="28"/>
          <w:lang w:val="en-US" w:eastAsia="zh-CN"/>
        </w:rPr>
      </w:pPr>
    </w:p>
    <w:p w14:paraId="622A9DF4">
      <w:pPr>
        <w:jc w:val="both"/>
        <w:rPr>
          <w:rFonts w:hint="default" w:ascii="Times New Roman" w:hAnsi="Times New Roman" w:eastAsia="Calibri" w:cs="Times New Roman"/>
          <w:b w:val="0"/>
          <w:bCs w:val="0"/>
          <w:color w:val="000000"/>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63F5FA"/>
    <w:multiLevelType w:val="singleLevel"/>
    <w:tmpl w:val="EC63F5FA"/>
    <w:lvl w:ilvl="0" w:tentative="0">
      <w:start w:val="1"/>
      <w:numFmt w:val="decimal"/>
      <w:suff w:val="space"/>
      <w:lvlText w:val="%1."/>
      <w:lvlJc w:val="left"/>
    </w:lvl>
  </w:abstractNum>
  <w:abstractNum w:abstractNumId="1">
    <w:nsid w:val="46F77E5D"/>
    <w:multiLevelType w:val="singleLevel"/>
    <w:tmpl w:val="46F77E5D"/>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DF2D0A"/>
    <w:rsid w:val="0BDF2D0A"/>
    <w:rsid w:val="577E58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2354</Words>
  <Characters>16394</Characters>
  <Lines>0</Lines>
  <Paragraphs>0</Paragraphs>
  <TotalTime>55</TotalTime>
  <ScaleCrop>false</ScaleCrop>
  <LinksUpToDate>false</LinksUpToDate>
  <CharactersWithSpaces>18709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2025-12-08T07:52:00Z</dcterms:created>
  <dc:creator>Ruobin Yu</dc:creator>
  <cp:lastModifiedBy>Ruobin Yu</cp:lastModifiedBy>
  <dcterms:modified xsi:type="dcterms:W3CDTF">2025-12-08T09:08:24Z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87AC9D44AB654F748E099C0DD0EBD449_11</vt:lpwstr>
  </property>
  <property fmtid="{D5CDD505-2E9C-101B-9397-08002B2CF9AE}" pid="4" name="KSOTemplateDocerSaveRecord">
    <vt:lpwstr>eyJoZGlkIjoiMzEwNTM5NzYwMDRjMzkwZTVkZjY2ODkwMGIxNGU0OTUiLCJ1c2VySWQiOiIyNDc1MzY0MzYifQ==</vt:lpwstr>
  </property>
</Properties>
</file>