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About LID</w:t>
        <w:br/>
        <w:t>You are here</w:t>
        <w:br/>
        <w:t>About LID</w:t>
        <w:br/>
        <w:t>"Supporting and developing students’ English literacy practices in the disciplines”is funded by the University Grants Committee’s Competitive Funding Scheme on Teaching and Learning for the 2012-2015 triannium. This inter-institutional literacy project aims to examine the provision of English literacy across three broad disciplines, Social Science, Science and Engineering, in the participating institutions that include the Hong Kong Polytechnic University, City University of Hong Kong and the Hong Kong Baptist University. The deliverables consist of a comprehensive support system to establish a stimulating learning environment for students, content teachers and language teachers to become conversant with disciplinary genres, together with relevant linguistic and pedagogical resources which will be shared by all tertiary institutions in Hong Kong. The project draws its model from the tools and protocols developed by the English Language Centre of the Hong Kong Polytechnic University for its Reading and Writing Requirements which are a required element of its four year undergraduate curriculum. This project aims to expand the experience of intra-institutional collaboration from literacy across the curriculum to literacy in the disciplines.</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https://lc.hkbu.edu.hk/main/sall/english/lid/about-lid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