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85" w:type="dxa"/>
        <w:tblInd w:w="-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5"/>
        <w:gridCol w:w="5370"/>
        <w:gridCol w:w="2140"/>
      </w:tblGrid>
      <w:tr w:rsidR="00851F82" w:rsidRPr="003A687A" w14:paraId="71D97F19" w14:textId="77777777" w:rsidTr="00AA60C0">
        <w:trPr>
          <w:trHeight w:val="300"/>
        </w:trPr>
        <w:tc>
          <w:tcPr>
            <w:tcW w:w="1575" w:type="dxa"/>
            <w:shd w:val="clear" w:color="auto" w:fill="FFFFCC"/>
          </w:tcPr>
          <w:p w14:paraId="3505862C" w14:textId="77777777" w:rsidR="00851F82" w:rsidRPr="003A687A" w:rsidRDefault="00851F82" w:rsidP="00AA60C0">
            <w:pPr>
              <w:snapToGrid w:val="0"/>
              <w:spacing w:after="0" w:line="240" w:lineRule="auto"/>
              <w:rPr>
                <w:rFonts w:ascii="Times New Roman" w:eastAsia="Aptos" w:hAnsi="Times New Roman" w:cs="Times New Roman"/>
              </w:rPr>
            </w:pPr>
            <w:r w:rsidRPr="003A687A">
              <w:rPr>
                <w:rFonts w:ascii="Times New Roman" w:eastAsia="Aptos" w:hAnsi="Times New Roman" w:cs="Times New Roman"/>
              </w:rPr>
              <w:t>  </w:t>
            </w:r>
            <w:r w:rsidRPr="003A687A">
              <w:rPr>
                <w:rFonts w:ascii="Times New Roman" w:eastAsia="Aptos" w:hAnsi="Times New Roman" w:cs="Times New Roman"/>
                <w:b/>
                <w:bCs/>
              </w:rPr>
              <w:t>Entities</w:t>
            </w:r>
            <w:r w:rsidRPr="003A687A">
              <w:rPr>
                <w:rFonts w:ascii="Times New Roman" w:eastAsia="Aptos" w:hAnsi="Times New Roman" w:cs="Times New Roman"/>
              </w:rPr>
              <w:t> </w:t>
            </w:r>
          </w:p>
        </w:tc>
        <w:tc>
          <w:tcPr>
            <w:tcW w:w="5370" w:type="dxa"/>
            <w:shd w:val="clear" w:color="auto" w:fill="FFFFCC"/>
          </w:tcPr>
          <w:p w14:paraId="2FF91B54" w14:textId="77777777" w:rsidR="00851F82" w:rsidRPr="003A687A" w:rsidRDefault="00851F82" w:rsidP="00AA60C0">
            <w:pPr>
              <w:snapToGrid w:val="0"/>
              <w:spacing w:after="0" w:line="240" w:lineRule="auto"/>
              <w:rPr>
                <w:rFonts w:ascii="Times New Roman" w:eastAsia="Aptos" w:hAnsi="Times New Roman" w:cs="Times New Roman"/>
              </w:rPr>
            </w:pPr>
            <w:r w:rsidRPr="003A687A">
              <w:rPr>
                <w:rFonts w:ascii="Times New Roman" w:eastAsia="Aptos" w:hAnsi="Times New Roman" w:cs="Times New Roman"/>
                <w:b/>
                <w:bCs/>
              </w:rPr>
              <w:t>Responsibilities</w:t>
            </w:r>
            <w:r w:rsidRPr="003A687A">
              <w:rPr>
                <w:rFonts w:ascii="Times New Roman" w:eastAsia="Aptos" w:hAnsi="Times New Roman" w:cs="Times New Roman"/>
              </w:rPr>
              <w:t> </w:t>
            </w:r>
          </w:p>
        </w:tc>
        <w:tc>
          <w:tcPr>
            <w:tcW w:w="2140" w:type="dxa"/>
            <w:shd w:val="clear" w:color="auto" w:fill="FFFFCC"/>
          </w:tcPr>
          <w:p w14:paraId="029A3B16" w14:textId="77777777" w:rsidR="00851F82" w:rsidRPr="003A687A" w:rsidRDefault="00851F82" w:rsidP="00AA60C0">
            <w:pPr>
              <w:snapToGrid w:val="0"/>
              <w:spacing w:after="0" w:line="240" w:lineRule="auto"/>
              <w:rPr>
                <w:rFonts w:ascii="Times New Roman" w:eastAsia="Aptos" w:hAnsi="Times New Roman" w:cs="Times New Roman"/>
              </w:rPr>
            </w:pPr>
            <w:r w:rsidRPr="003A687A">
              <w:rPr>
                <w:rFonts w:ascii="Times New Roman" w:eastAsia="Aptos" w:hAnsi="Times New Roman" w:cs="Times New Roman"/>
                <w:b/>
                <w:bCs/>
              </w:rPr>
              <w:t>Learning Outcomes</w:t>
            </w:r>
          </w:p>
        </w:tc>
      </w:tr>
      <w:tr w:rsidR="00851F82" w:rsidRPr="003A687A" w14:paraId="1E20BA7F" w14:textId="77777777" w:rsidTr="00AA60C0">
        <w:trPr>
          <w:trHeight w:val="300"/>
        </w:trPr>
        <w:tc>
          <w:tcPr>
            <w:tcW w:w="1575" w:type="dxa"/>
            <w:shd w:val="clear" w:color="auto" w:fill="CCFFCC"/>
          </w:tcPr>
          <w:p w14:paraId="3FEDE68F" w14:textId="77777777" w:rsidR="00851F82" w:rsidRPr="003A687A" w:rsidRDefault="00851F82" w:rsidP="00AA60C0">
            <w:pPr>
              <w:snapToGrid w:val="0"/>
              <w:spacing w:after="0" w:line="240" w:lineRule="auto"/>
              <w:rPr>
                <w:rFonts w:ascii="Times New Roman" w:eastAsia="Aptos" w:hAnsi="Times New Roman" w:cs="Times New Roman"/>
              </w:rPr>
            </w:pPr>
            <w:r w:rsidRPr="003A687A">
              <w:rPr>
                <w:rFonts w:ascii="Times New Roman" w:eastAsia="Aptos" w:hAnsi="Times New Roman" w:cs="Times New Roman"/>
              </w:rPr>
              <w:t>Language Centre  </w:t>
            </w:r>
          </w:p>
        </w:tc>
        <w:tc>
          <w:tcPr>
            <w:tcW w:w="5370" w:type="dxa"/>
          </w:tcPr>
          <w:p w14:paraId="24B2CBE6" w14:textId="77777777" w:rsidR="00851F82" w:rsidRPr="003A687A" w:rsidRDefault="00851F82" w:rsidP="00AA60C0">
            <w:pPr>
              <w:snapToGrid w:val="0"/>
              <w:spacing w:after="0" w:line="240" w:lineRule="auto"/>
              <w:ind w:left="347" w:hanging="347"/>
              <w:rPr>
                <w:rFonts w:ascii="Times New Roman" w:eastAsia="Aptos" w:hAnsi="Times New Roman" w:cs="Times New Roman"/>
                <w:b/>
                <w:bCs/>
              </w:rPr>
            </w:pPr>
            <w:r w:rsidRPr="003A687A">
              <w:rPr>
                <w:rFonts w:ascii="Times New Roman" w:eastAsia="Aptos" w:hAnsi="Times New Roman" w:cs="Times New Roman"/>
                <w:b/>
                <w:bCs/>
              </w:rPr>
              <w:t>University Requirement Cores</w:t>
            </w:r>
          </w:p>
          <w:p w14:paraId="7A45091F" w14:textId="77777777" w:rsidR="00851F82" w:rsidRPr="003A687A" w:rsidRDefault="00851F82" w:rsidP="00851F82">
            <w:pPr>
              <w:pStyle w:val="ListParagraph"/>
              <w:numPr>
                <w:ilvl w:val="1"/>
                <w:numId w:val="1"/>
              </w:numPr>
              <w:snapToGrid w:val="0"/>
              <w:spacing w:after="0" w:line="240" w:lineRule="auto"/>
              <w:ind w:left="347" w:hanging="347"/>
            </w:pPr>
            <w:r w:rsidRPr="003A687A">
              <w:rPr>
                <w:rFonts w:ascii="Times New Roman" w:eastAsia="Times New Roman" w:hAnsi="Times New Roman" w:cs="Times New Roman"/>
              </w:rPr>
              <w:t>Offer structured language training through foundational university courses</w:t>
            </w:r>
          </w:p>
          <w:p w14:paraId="457BF0E8" w14:textId="77777777" w:rsidR="00851F82" w:rsidRPr="003A687A" w:rsidRDefault="00851F82" w:rsidP="00851F82">
            <w:pPr>
              <w:pStyle w:val="ListParagraph"/>
              <w:numPr>
                <w:ilvl w:val="1"/>
                <w:numId w:val="1"/>
              </w:numPr>
              <w:snapToGrid w:val="0"/>
              <w:spacing w:after="0" w:line="240" w:lineRule="auto"/>
              <w:ind w:left="347" w:hanging="347"/>
              <w:rPr>
                <w:rFonts w:ascii="Times New Roman" w:eastAsia="Times New Roman" w:hAnsi="Times New Roman" w:cs="Times New Roman"/>
              </w:rPr>
            </w:pPr>
            <w:r w:rsidRPr="17388A48">
              <w:rPr>
                <w:rFonts w:ascii="Times New Roman" w:eastAsia="Times New Roman" w:hAnsi="Times New Roman" w:cs="Times New Roman"/>
              </w:rPr>
              <w:t xml:space="preserve">Offer an enhancement course to students with an </w:t>
            </w:r>
            <w:r w:rsidRPr="00D4212B">
              <w:rPr>
                <w:rFonts w:ascii="Times New Roman" w:eastAsia="Times New Roman" w:hAnsi="Times New Roman" w:cs="Times New Roman"/>
              </w:rPr>
              <w:t>HKDSE English Level 3, or an overall IELTs score of 6.0 or below</w:t>
            </w:r>
            <w:r w:rsidRPr="24ED74EC">
              <w:rPr>
                <w:rFonts w:ascii="Times New Roman" w:eastAsia="Times New Roman" w:hAnsi="Times New Roman" w:cs="Times New Roman"/>
              </w:rPr>
              <w:t xml:space="preserve"> </w:t>
            </w:r>
            <w:r w:rsidRPr="17388A48">
              <w:rPr>
                <w:rFonts w:ascii="Times New Roman" w:eastAsia="Times New Roman" w:hAnsi="Times New Roman" w:cs="Times New Roman"/>
              </w:rPr>
              <w:t xml:space="preserve">and to those admitted </w:t>
            </w:r>
            <w:proofErr w:type="gramStart"/>
            <w:r w:rsidRPr="17388A48">
              <w:rPr>
                <w:rFonts w:ascii="Times New Roman" w:eastAsia="Times New Roman" w:hAnsi="Times New Roman" w:cs="Times New Roman"/>
              </w:rPr>
              <w:t>on the basis of</w:t>
            </w:r>
            <w:proofErr w:type="gramEnd"/>
            <w:r w:rsidRPr="17388A48">
              <w:rPr>
                <w:rFonts w:ascii="Times New Roman" w:eastAsia="Times New Roman" w:hAnsi="Times New Roman" w:cs="Times New Roman"/>
              </w:rPr>
              <w:t xml:space="preserve"> other language qualifications and identified as needing additional support through a screening test or other means</w:t>
            </w:r>
          </w:p>
          <w:p w14:paraId="3ED5DDDB" w14:textId="77777777" w:rsidR="00851F82" w:rsidRPr="003A687A" w:rsidRDefault="00851F82" w:rsidP="00851F82">
            <w:pPr>
              <w:pStyle w:val="ListParagraph"/>
              <w:numPr>
                <w:ilvl w:val="1"/>
                <w:numId w:val="1"/>
              </w:numPr>
              <w:snapToGrid w:val="0"/>
              <w:spacing w:after="0" w:line="240" w:lineRule="auto"/>
              <w:ind w:left="347" w:hanging="347"/>
              <w:rPr>
                <w:rFonts w:ascii="Times New Roman" w:eastAsia="Times New Roman" w:hAnsi="Times New Roman" w:cs="Times New Roman"/>
              </w:rPr>
            </w:pPr>
            <w:r w:rsidRPr="003A687A">
              <w:rPr>
                <w:rFonts w:ascii="Times New Roman" w:eastAsia="Times New Roman" w:hAnsi="Times New Roman" w:cs="Times New Roman"/>
              </w:rPr>
              <w:t>Develop students’ ability to properly and effectively use AI tools to facilitate language learning and communication</w:t>
            </w:r>
          </w:p>
        </w:tc>
        <w:tc>
          <w:tcPr>
            <w:tcW w:w="2140" w:type="dxa"/>
          </w:tcPr>
          <w:p w14:paraId="2DACF1C7" w14:textId="77777777" w:rsidR="00851F82" w:rsidRPr="003A687A" w:rsidRDefault="00851F82" w:rsidP="00AA60C0">
            <w:pPr>
              <w:snapToGrid w:val="0"/>
              <w:spacing w:after="0" w:line="240" w:lineRule="auto"/>
              <w:rPr>
                <w:rFonts w:ascii="Times New Roman" w:eastAsia="Aptos" w:hAnsi="Times New Roman" w:cs="Times New Roman"/>
              </w:rPr>
            </w:pPr>
          </w:p>
          <w:p w14:paraId="5EC42340" w14:textId="77777777" w:rsidR="00851F82" w:rsidRPr="003A687A" w:rsidRDefault="00851F82" w:rsidP="00AA60C0">
            <w:pPr>
              <w:snapToGrid w:val="0"/>
              <w:spacing w:after="0" w:line="240" w:lineRule="auto"/>
              <w:rPr>
                <w:rFonts w:ascii="Times New Roman" w:eastAsia="Aptos" w:hAnsi="Times New Roman" w:cs="Times New Roman"/>
              </w:rPr>
            </w:pPr>
            <w:r w:rsidRPr="003A687A">
              <w:rPr>
                <w:rFonts w:ascii="Times New Roman" w:eastAsia="Aptos" w:hAnsi="Times New Roman" w:cs="Times New Roman"/>
              </w:rPr>
              <w:t>Outcomes 1 and 3</w:t>
            </w:r>
          </w:p>
          <w:p w14:paraId="258944CA" w14:textId="77777777" w:rsidR="00851F82" w:rsidRPr="003A687A" w:rsidRDefault="00851F82" w:rsidP="00AA60C0">
            <w:pPr>
              <w:snapToGrid w:val="0"/>
              <w:spacing w:after="0" w:line="240" w:lineRule="auto"/>
              <w:rPr>
                <w:rFonts w:ascii="Times New Roman" w:eastAsia="Aptos" w:hAnsi="Times New Roman" w:cs="Times New Roman"/>
              </w:rPr>
            </w:pPr>
          </w:p>
        </w:tc>
      </w:tr>
      <w:tr w:rsidR="00851F82" w:rsidRPr="003A687A" w14:paraId="6F1B2F74" w14:textId="77777777" w:rsidTr="00AA60C0">
        <w:trPr>
          <w:trHeight w:val="300"/>
        </w:trPr>
        <w:tc>
          <w:tcPr>
            <w:tcW w:w="1575" w:type="dxa"/>
            <w:vMerge w:val="restart"/>
          </w:tcPr>
          <w:p w14:paraId="689F6E0E" w14:textId="77777777" w:rsidR="00851F82" w:rsidRPr="003A687A" w:rsidRDefault="00851F82" w:rsidP="00AA60C0">
            <w:pPr>
              <w:snapToGrid w:val="0"/>
              <w:spacing w:after="0" w:line="240" w:lineRule="auto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5370" w:type="dxa"/>
          </w:tcPr>
          <w:p w14:paraId="474DF9B5" w14:textId="77777777" w:rsidR="00851F82" w:rsidRPr="003A687A" w:rsidRDefault="00851F82" w:rsidP="00AA60C0">
            <w:pPr>
              <w:pStyle w:val="ListParagraph"/>
              <w:snapToGrid w:val="0"/>
              <w:spacing w:after="0" w:line="240" w:lineRule="auto"/>
              <w:ind w:left="22"/>
              <w:rPr>
                <w:rFonts w:ascii="Times New Roman" w:eastAsia="Aptos" w:hAnsi="Times New Roman" w:cs="Times New Roman"/>
                <w:b/>
                <w:bCs/>
              </w:rPr>
            </w:pPr>
            <w:r w:rsidRPr="003A687A">
              <w:rPr>
                <w:rFonts w:ascii="Times New Roman" w:eastAsia="Aptos" w:hAnsi="Times New Roman" w:cs="Times New Roman"/>
                <w:b/>
                <w:bCs/>
              </w:rPr>
              <w:t xml:space="preserve">Support for Disciplinary and Transdisciplinary Communication </w:t>
            </w:r>
          </w:p>
          <w:p w14:paraId="157180CE" w14:textId="77777777" w:rsidR="00851F82" w:rsidRPr="003A687A" w:rsidRDefault="00851F82" w:rsidP="00AA60C0">
            <w:pPr>
              <w:pStyle w:val="ListParagraph"/>
              <w:snapToGrid w:val="0"/>
              <w:spacing w:after="0" w:line="240" w:lineRule="auto"/>
              <w:ind w:left="306" w:hanging="284"/>
              <w:rPr>
                <w:rFonts w:ascii="Times New Roman" w:eastAsia="Times New Roman" w:hAnsi="Times New Roman" w:cs="Times New Roman"/>
              </w:rPr>
            </w:pPr>
            <w:proofErr w:type="gramStart"/>
            <w:r w:rsidRPr="003A687A">
              <w:rPr>
                <w:rFonts w:ascii="Times New Roman" w:eastAsia="Aptos" w:hAnsi="Times New Roman" w:cs="Times New Roman"/>
                <w:b/>
                <w:bCs/>
              </w:rPr>
              <w:t xml:space="preserve">-  </w:t>
            </w:r>
            <w:r w:rsidRPr="003A687A">
              <w:rPr>
                <w:rFonts w:ascii="Times New Roman" w:eastAsia="Times New Roman" w:hAnsi="Times New Roman" w:cs="Times New Roman"/>
              </w:rPr>
              <w:t>Collaborate</w:t>
            </w:r>
            <w:proofErr w:type="gramEnd"/>
            <w:r w:rsidRPr="003A687A">
              <w:rPr>
                <w:rFonts w:ascii="Times New Roman" w:eastAsia="Times New Roman" w:hAnsi="Times New Roman" w:cs="Times New Roman"/>
              </w:rPr>
              <w:t xml:space="preserve"> with academic </w:t>
            </w:r>
            <w:proofErr w:type="spellStart"/>
            <w:r w:rsidRPr="003A687A">
              <w:rPr>
                <w:rFonts w:ascii="Times New Roman" w:eastAsia="Times New Roman" w:hAnsi="Times New Roman" w:cs="Times New Roman"/>
              </w:rPr>
              <w:t>programmes</w:t>
            </w:r>
            <w:proofErr w:type="spellEnd"/>
            <w:r w:rsidRPr="003A687A">
              <w:rPr>
                <w:rFonts w:ascii="Times New Roman" w:eastAsia="Times New Roman" w:hAnsi="Times New Roman" w:cs="Times New Roman"/>
              </w:rPr>
              <w:t xml:space="preserve"> to tailor support for students to meet the disciplinary and transdisciplinary language communication demands</w:t>
            </w:r>
          </w:p>
          <w:p w14:paraId="3E670F77" w14:textId="77777777" w:rsidR="00851F82" w:rsidRPr="003A687A" w:rsidRDefault="00851F82" w:rsidP="00AA60C0">
            <w:pPr>
              <w:pStyle w:val="ListParagraph"/>
              <w:snapToGrid w:val="0"/>
              <w:spacing w:after="0" w:line="240" w:lineRule="auto"/>
              <w:ind w:left="306" w:hanging="284"/>
              <w:rPr>
                <w:rFonts w:ascii="Times New Roman" w:eastAsia="Times New Roman" w:hAnsi="Times New Roman" w:cs="Times New Roman"/>
              </w:rPr>
            </w:pPr>
            <w:r w:rsidRPr="003A687A">
              <w:rPr>
                <w:rFonts w:ascii="Times New Roman" w:eastAsia="Aptos" w:hAnsi="Times New Roman" w:cs="Times New Roman"/>
                <w:b/>
                <w:bCs/>
              </w:rPr>
              <w:t>-</w:t>
            </w:r>
            <w:r w:rsidRPr="003A687A">
              <w:rPr>
                <w:rFonts w:ascii="Times New Roman" w:eastAsia="Times New Roman" w:hAnsi="Times New Roman" w:cs="Times New Roman"/>
              </w:rPr>
              <w:t xml:space="preserve">  Offer tutoring for the ‘language and communication’ component of students’ coursework </w:t>
            </w:r>
          </w:p>
        </w:tc>
        <w:tc>
          <w:tcPr>
            <w:tcW w:w="2140" w:type="dxa"/>
          </w:tcPr>
          <w:p w14:paraId="12C91DA7" w14:textId="77777777" w:rsidR="00851F82" w:rsidRPr="003A687A" w:rsidRDefault="00851F82" w:rsidP="00AA60C0">
            <w:pPr>
              <w:snapToGrid w:val="0"/>
              <w:spacing w:after="0" w:line="240" w:lineRule="auto"/>
              <w:rPr>
                <w:rFonts w:ascii="Times New Roman" w:eastAsia="Aptos" w:hAnsi="Times New Roman" w:cs="Times New Roman"/>
              </w:rPr>
            </w:pPr>
            <w:r w:rsidRPr="003A687A">
              <w:rPr>
                <w:rFonts w:ascii="Times New Roman" w:eastAsia="Aptos" w:hAnsi="Times New Roman" w:cs="Times New Roman"/>
              </w:rPr>
              <w:t xml:space="preserve">Outcome 2 </w:t>
            </w:r>
          </w:p>
          <w:p w14:paraId="488345D7" w14:textId="77777777" w:rsidR="00851F82" w:rsidRPr="003A687A" w:rsidRDefault="00851F82" w:rsidP="00AA60C0">
            <w:pPr>
              <w:snapToGrid w:val="0"/>
              <w:spacing w:after="0" w:line="240" w:lineRule="auto"/>
              <w:rPr>
                <w:rFonts w:ascii="Times New Roman" w:eastAsia="Aptos" w:hAnsi="Times New Roman" w:cs="Times New Roman"/>
              </w:rPr>
            </w:pPr>
          </w:p>
        </w:tc>
      </w:tr>
      <w:tr w:rsidR="00851F82" w:rsidRPr="003A687A" w14:paraId="4BE7F57E" w14:textId="77777777" w:rsidTr="00AA60C0">
        <w:trPr>
          <w:trHeight w:val="300"/>
        </w:trPr>
        <w:tc>
          <w:tcPr>
            <w:tcW w:w="1575" w:type="dxa"/>
            <w:vMerge/>
          </w:tcPr>
          <w:p w14:paraId="00F879FE" w14:textId="77777777" w:rsidR="00851F82" w:rsidRPr="003A687A" w:rsidRDefault="00851F82" w:rsidP="00AA60C0">
            <w:pPr>
              <w:snapToGrid w:val="0"/>
              <w:spacing w:after="0" w:line="240" w:lineRule="auto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5370" w:type="dxa"/>
          </w:tcPr>
          <w:p w14:paraId="576CBAB2" w14:textId="77777777" w:rsidR="00851F82" w:rsidRPr="003A687A" w:rsidRDefault="00851F82" w:rsidP="00AA60C0">
            <w:pPr>
              <w:snapToGrid w:val="0"/>
              <w:spacing w:after="0" w:line="240" w:lineRule="auto"/>
              <w:ind w:left="347" w:hanging="347"/>
              <w:rPr>
                <w:rFonts w:ascii="Times New Roman" w:eastAsia="Aptos" w:hAnsi="Times New Roman" w:cs="Times New Roman"/>
                <w:b/>
                <w:bCs/>
              </w:rPr>
            </w:pPr>
            <w:r w:rsidRPr="003A687A">
              <w:rPr>
                <w:rFonts w:ascii="Times New Roman" w:eastAsia="Aptos" w:hAnsi="Times New Roman" w:cs="Times New Roman"/>
                <w:b/>
                <w:bCs/>
              </w:rPr>
              <w:t>Language Enhancement Activities</w:t>
            </w:r>
          </w:p>
          <w:p w14:paraId="01432C11" w14:textId="77777777" w:rsidR="00851F82" w:rsidRPr="003A687A" w:rsidRDefault="00851F82" w:rsidP="00851F82">
            <w:pPr>
              <w:pStyle w:val="ListParagraph"/>
              <w:numPr>
                <w:ilvl w:val="1"/>
                <w:numId w:val="1"/>
              </w:numPr>
              <w:snapToGrid w:val="0"/>
              <w:spacing w:after="0" w:line="240" w:lineRule="auto"/>
              <w:ind w:left="347" w:hanging="347"/>
              <w:rPr>
                <w:rFonts w:ascii="Times New Roman" w:eastAsia="Aptos" w:hAnsi="Times New Roman" w:cs="Times New Roman"/>
              </w:rPr>
            </w:pPr>
            <w:r w:rsidRPr="003A687A">
              <w:rPr>
                <w:rFonts w:ascii="Times New Roman" w:eastAsia="Aptos" w:hAnsi="Times New Roman" w:cs="Times New Roman"/>
              </w:rPr>
              <w:t xml:space="preserve">Provide language learning facilities, materials and workshops for flexible and </w:t>
            </w:r>
            <w:proofErr w:type="spellStart"/>
            <w:r w:rsidRPr="003A687A">
              <w:rPr>
                <w:rFonts w:ascii="Times New Roman" w:eastAsia="Aptos" w:hAnsi="Times New Roman" w:cs="Times New Roman"/>
              </w:rPr>
              <w:t>individualised</w:t>
            </w:r>
            <w:proofErr w:type="spellEnd"/>
            <w:r w:rsidRPr="003A687A">
              <w:rPr>
                <w:rFonts w:ascii="Times New Roman" w:eastAsia="Aptos" w:hAnsi="Times New Roman" w:cs="Times New Roman"/>
              </w:rPr>
              <w:t xml:space="preserve"> learning</w:t>
            </w:r>
          </w:p>
          <w:p w14:paraId="08FE2840" w14:textId="77777777" w:rsidR="00851F82" w:rsidRPr="003A687A" w:rsidRDefault="00851F82" w:rsidP="00851F82">
            <w:pPr>
              <w:pStyle w:val="ListParagraph"/>
              <w:numPr>
                <w:ilvl w:val="1"/>
                <w:numId w:val="1"/>
              </w:numPr>
              <w:snapToGrid w:val="0"/>
              <w:spacing w:after="0" w:line="240" w:lineRule="auto"/>
              <w:ind w:left="347" w:hanging="347"/>
              <w:rPr>
                <w:rFonts w:ascii="Times New Roman" w:eastAsia="Aptos" w:hAnsi="Times New Roman" w:cs="Times New Roman"/>
              </w:rPr>
            </w:pPr>
            <w:proofErr w:type="spellStart"/>
            <w:r w:rsidRPr="003A687A">
              <w:rPr>
                <w:rFonts w:ascii="Times New Roman" w:eastAsia="Aptos" w:hAnsi="Times New Roman" w:cs="Times New Roman"/>
              </w:rPr>
              <w:t>Organise</w:t>
            </w:r>
            <w:proofErr w:type="spellEnd"/>
            <w:r w:rsidRPr="003A687A">
              <w:rPr>
                <w:rFonts w:ascii="Times New Roman" w:eastAsia="Aptos" w:hAnsi="Times New Roman" w:cs="Times New Roman"/>
              </w:rPr>
              <w:t xml:space="preserve"> events and activities to promote cultural understanding and communication</w:t>
            </w:r>
          </w:p>
        </w:tc>
        <w:tc>
          <w:tcPr>
            <w:tcW w:w="2140" w:type="dxa"/>
          </w:tcPr>
          <w:p w14:paraId="195AC8D7" w14:textId="77777777" w:rsidR="00851F82" w:rsidRPr="003A687A" w:rsidRDefault="00851F82" w:rsidP="00AA60C0">
            <w:pPr>
              <w:snapToGrid w:val="0"/>
              <w:spacing w:after="0" w:line="240" w:lineRule="auto"/>
              <w:rPr>
                <w:rFonts w:ascii="Times New Roman" w:eastAsia="Aptos" w:hAnsi="Times New Roman" w:cs="Times New Roman"/>
              </w:rPr>
            </w:pPr>
            <w:r w:rsidRPr="003A687A">
              <w:rPr>
                <w:rFonts w:ascii="Times New Roman" w:eastAsia="Aptos" w:hAnsi="Times New Roman" w:cs="Times New Roman"/>
              </w:rPr>
              <w:t>Outcomes 1, 3 and 4</w:t>
            </w:r>
          </w:p>
          <w:p w14:paraId="4AD797D0" w14:textId="77777777" w:rsidR="00851F82" w:rsidRPr="003A687A" w:rsidRDefault="00851F82" w:rsidP="00AA60C0">
            <w:pPr>
              <w:snapToGrid w:val="0"/>
              <w:spacing w:after="0" w:line="240" w:lineRule="auto"/>
              <w:rPr>
                <w:rFonts w:ascii="Times New Roman" w:eastAsia="Aptos" w:hAnsi="Times New Roman" w:cs="Times New Roman"/>
              </w:rPr>
            </w:pPr>
          </w:p>
        </w:tc>
      </w:tr>
      <w:tr w:rsidR="00851F82" w:rsidRPr="003A687A" w14:paraId="5BFC64C9" w14:textId="77777777" w:rsidTr="00AA60C0">
        <w:trPr>
          <w:trHeight w:val="300"/>
        </w:trPr>
        <w:tc>
          <w:tcPr>
            <w:tcW w:w="1575" w:type="dxa"/>
            <w:vMerge/>
          </w:tcPr>
          <w:p w14:paraId="1CC1CCB9" w14:textId="77777777" w:rsidR="00851F82" w:rsidRPr="003A687A" w:rsidRDefault="00851F82" w:rsidP="00AA60C0">
            <w:pPr>
              <w:snapToGrid w:val="0"/>
              <w:spacing w:after="0" w:line="240" w:lineRule="auto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5370" w:type="dxa"/>
          </w:tcPr>
          <w:p w14:paraId="51D7A8E7" w14:textId="77777777" w:rsidR="00851F82" w:rsidRPr="003A687A" w:rsidRDefault="00851F82" w:rsidP="00851F82">
            <w:pPr>
              <w:pStyle w:val="ListParagraph"/>
              <w:numPr>
                <w:ilvl w:val="1"/>
                <w:numId w:val="1"/>
              </w:numPr>
              <w:snapToGrid w:val="0"/>
              <w:spacing w:after="0" w:line="240" w:lineRule="auto"/>
              <w:ind w:left="347" w:hanging="347"/>
              <w:rPr>
                <w:rFonts w:ascii="Times New Roman" w:eastAsia="Aptos" w:hAnsi="Times New Roman" w:cs="Times New Roman"/>
              </w:rPr>
            </w:pPr>
            <w:r w:rsidRPr="003A687A">
              <w:rPr>
                <w:rFonts w:ascii="Times New Roman" w:eastAsia="Aptos" w:hAnsi="Times New Roman" w:cs="Times New Roman"/>
              </w:rPr>
              <w:t>Provide foreign language courses to cultivate multilingual competence</w:t>
            </w:r>
          </w:p>
          <w:p w14:paraId="59777BA2" w14:textId="77777777" w:rsidR="00851F82" w:rsidRPr="003A687A" w:rsidRDefault="00851F82" w:rsidP="00851F82">
            <w:pPr>
              <w:pStyle w:val="ListParagraph"/>
              <w:numPr>
                <w:ilvl w:val="1"/>
                <w:numId w:val="1"/>
              </w:numPr>
              <w:snapToGrid w:val="0"/>
              <w:spacing w:after="0" w:line="240" w:lineRule="auto"/>
              <w:ind w:left="347" w:hanging="347"/>
              <w:rPr>
                <w:rFonts w:ascii="Times New Roman" w:eastAsia="Aptos" w:hAnsi="Times New Roman" w:cs="Times New Roman"/>
              </w:rPr>
            </w:pPr>
            <w:r w:rsidRPr="003A687A">
              <w:rPr>
                <w:rFonts w:ascii="Times New Roman" w:eastAsia="Aptos" w:hAnsi="Times New Roman" w:cs="Times New Roman"/>
              </w:rPr>
              <w:t xml:space="preserve">Provide language learning resources (including AI tools) to support </w:t>
            </w:r>
            <w:proofErr w:type="spellStart"/>
            <w:r w:rsidRPr="003A687A">
              <w:rPr>
                <w:rFonts w:ascii="Times New Roman" w:eastAsia="Aptos" w:hAnsi="Times New Roman" w:cs="Times New Roman"/>
              </w:rPr>
              <w:t>personalised</w:t>
            </w:r>
            <w:proofErr w:type="spellEnd"/>
            <w:r w:rsidRPr="003A687A">
              <w:rPr>
                <w:rFonts w:ascii="Times New Roman" w:eastAsia="Aptos" w:hAnsi="Times New Roman" w:cs="Times New Roman"/>
              </w:rPr>
              <w:t xml:space="preserve"> learning </w:t>
            </w:r>
          </w:p>
        </w:tc>
        <w:tc>
          <w:tcPr>
            <w:tcW w:w="2140" w:type="dxa"/>
          </w:tcPr>
          <w:p w14:paraId="57CEEE43" w14:textId="77777777" w:rsidR="00851F82" w:rsidRPr="003A687A" w:rsidRDefault="00851F82" w:rsidP="00AA60C0">
            <w:pPr>
              <w:snapToGrid w:val="0"/>
              <w:spacing w:after="0" w:line="240" w:lineRule="auto"/>
              <w:rPr>
                <w:rFonts w:ascii="Times New Roman" w:eastAsia="Aptos" w:hAnsi="Times New Roman" w:cs="Times New Roman"/>
              </w:rPr>
            </w:pPr>
            <w:r w:rsidRPr="003A687A">
              <w:rPr>
                <w:rFonts w:ascii="Times New Roman" w:eastAsia="Aptos" w:hAnsi="Times New Roman" w:cs="Times New Roman"/>
              </w:rPr>
              <w:t>Outcome 3</w:t>
            </w:r>
          </w:p>
          <w:p w14:paraId="38975635" w14:textId="77777777" w:rsidR="00851F82" w:rsidRPr="003A687A" w:rsidRDefault="00851F82" w:rsidP="00AA60C0">
            <w:pPr>
              <w:snapToGrid w:val="0"/>
              <w:spacing w:after="0" w:line="240" w:lineRule="auto"/>
              <w:rPr>
                <w:rFonts w:ascii="Times New Roman" w:eastAsia="Aptos" w:hAnsi="Times New Roman" w:cs="Times New Roman"/>
              </w:rPr>
            </w:pPr>
          </w:p>
          <w:p w14:paraId="20D30F3D" w14:textId="77777777" w:rsidR="00851F82" w:rsidRPr="003A687A" w:rsidRDefault="00851F82" w:rsidP="00AA60C0">
            <w:pPr>
              <w:snapToGrid w:val="0"/>
              <w:spacing w:after="0" w:line="240" w:lineRule="auto"/>
              <w:rPr>
                <w:rFonts w:ascii="Times New Roman" w:eastAsia="Aptos" w:hAnsi="Times New Roman" w:cs="Times New Roman"/>
              </w:rPr>
            </w:pPr>
            <w:r w:rsidRPr="003A687A">
              <w:rPr>
                <w:rFonts w:ascii="Times New Roman" w:eastAsia="Aptos" w:hAnsi="Times New Roman" w:cs="Times New Roman"/>
              </w:rPr>
              <w:t>Outcome 4</w:t>
            </w:r>
          </w:p>
        </w:tc>
      </w:tr>
      <w:tr w:rsidR="00851F82" w:rsidRPr="003A687A" w14:paraId="20AC587A" w14:textId="77777777" w:rsidTr="00AA60C0">
        <w:trPr>
          <w:trHeight w:val="300"/>
        </w:trPr>
        <w:tc>
          <w:tcPr>
            <w:tcW w:w="1575" w:type="dxa"/>
            <w:shd w:val="clear" w:color="auto" w:fill="CCFFCC"/>
          </w:tcPr>
          <w:p w14:paraId="7CB353C0" w14:textId="77777777" w:rsidR="00851F82" w:rsidRPr="003A687A" w:rsidRDefault="00851F82" w:rsidP="00AA60C0">
            <w:pPr>
              <w:snapToGrid w:val="0"/>
              <w:spacing w:after="0" w:line="240" w:lineRule="auto"/>
              <w:rPr>
                <w:rFonts w:ascii="Times New Roman" w:eastAsia="Aptos" w:hAnsi="Times New Roman" w:cs="Times New Roman"/>
              </w:rPr>
            </w:pPr>
            <w:r w:rsidRPr="003A687A">
              <w:rPr>
                <w:rFonts w:ascii="Times New Roman" w:eastAsia="Aptos" w:hAnsi="Times New Roman" w:cs="Times New Roman"/>
              </w:rPr>
              <w:t xml:space="preserve">Academic </w:t>
            </w:r>
            <w:proofErr w:type="spellStart"/>
            <w:r w:rsidRPr="003A687A">
              <w:rPr>
                <w:rFonts w:ascii="Times New Roman" w:eastAsia="Aptos" w:hAnsi="Times New Roman" w:cs="Times New Roman"/>
              </w:rPr>
              <w:t>Programmes</w:t>
            </w:r>
            <w:proofErr w:type="spellEnd"/>
            <w:r w:rsidRPr="003A687A">
              <w:rPr>
                <w:rFonts w:ascii="Times New Roman" w:eastAsia="Aptos" w:hAnsi="Times New Roman" w:cs="Times New Roman"/>
              </w:rPr>
              <w:t>  </w:t>
            </w:r>
          </w:p>
        </w:tc>
        <w:tc>
          <w:tcPr>
            <w:tcW w:w="5370" w:type="dxa"/>
          </w:tcPr>
          <w:p w14:paraId="06A0D9B3" w14:textId="77777777" w:rsidR="00851F82" w:rsidRPr="003A687A" w:rsidRDefault="00851F82" w:rsidP="00AA60C0">
            <w:pPr>
              <w:adjustRightInd w:val="0"/>
              <w:snapToGrid w:val="0"/>
              <w:spacing w:after="0" w:line="240" w:lineRule="auto"/>
              <w:rPr>
                <w:rFonts w:ascii="Times New Roman" w:eastAsia="Aptos" w:hAnsi="Times New Roman" w:cs="Times New Roman"/>
              </w:rPr>
            </w:pPr>
            <w:r w:rsidRPr="003A687A">
              <w:rPr>
                <w:rFonts w:ascii="Times New Roman" w:eastAsia="Aptos" w:hAnsi="Times New Roman" w:cs="Times New Roman"/>
                <w:b/>
                <w:bCs/>
              </w:rPr>
              <w:t xml:space="preserve">Integration of Communication Competence into Assessment </w:t>
            </w:r>
          </w:p>
          <w:p w14:paraId="63CC5FB2" w14:textId="77777777" w:rsidR="00851F82" w:rsidRPr="003A687A" w:rsidRDefault="00851F82" w:rsidP="00851F82">
            <w:pPr>
              <w:pStyle w:val="ListParagraph"/>
              <w:numPr>
                <w:ilvl w:val="1"/>
                <w:numId w:val="1"/>
              </w:numPr>
              <w:snapToGrid w:val="0"/>
              <w:spacing w:after="0" w:line="240" w:lineRule="auto"/>
              <w:ind w:left="346" w:hanging="346"/>
              <w:rPr>
                <w:rFonts w:ascii="Times New Roman" w:eastAsia="Times New Roman" w:hAnsi="Times New Roman" w:cs="Times New Roman"/>
              </w:rPr>
            </w:pPr>
            <w:r w:rsidRPr="003A687A">
              <w:rPr>
                <w:rFonts w:ascii="Times New Roman" w:eastAsia="Times New Roman" w:hAnsi="Times New Roman" w:cs="Times New Roman"/>
              </w:rPr>
              <w:t>Use communicative competence as a criterion in grading rubrics for assignments and projects, which may be co-designed with the Language Centre.</w:t>
            </w:r>
          </w:p>
          <w:p w14:paraId="32802E4B" w14:textId="77777777" w:rsidR="00851F82" w:rsidRPr="003A687A" w:rsidRDefault="00851F82" w:rsidP="00AA60C0">
            <w:pPr>
              <w:pStyle w:val="ListParagraph"/>
              <w:snapToGrid w:val="0"/>
              <w:spacing w:after="0" w:line="240" w:lineRule="auto"/>
              <w:ind w:left="346"/>
              <w:rPr>
                <w:rFonts w:ascii="Times New Roman" w:eastAsia="Aptos" w:hAnsi="Times New Roman" w:cs="Times New Roman"/>
                <w:b/>
                <w:bCs/>
              </w:rPr>
            </w:pPr>
          </w:p>
        </w:tc>
        <w:tc>
          <w:tcPr>
            <w:tcW w:w="2140" w:type="dxa"/>
          </w:tcPr>
          <w:p w14:paraId="7A7CCC08" w14:textId="77777777" w:rsidR="00851F82" w:rsidRPr="003A687A" w:rsidRDefault="00851F82" w:rsidP="00AA60C0">
            <w:pPr>
              <w:spacing w:after="0" w:line="240" w:lineRule="auto"/>
              <w:rPr>
                <w:rFonts w:ascii="Times New Roman" w:eastAsia="Aptos" w:hAnsi="Times New Roman" w:cs="Times New Roman"/>
              </w:rPr>
            </w:pPr>
            <w:r w:rsidRPr="003A687A">
              <w:rPr>
                <w:rFonts w:ascii="Times New Roman" w:eastAsia="Aptos" w:hAnsi="Times New Roman" w:cs="Times New Roman"/>
              </w:rPr>
              <w:t>All Outcomes</w:t>
            </w:r>
          </w:p>
        </w:tc>
      </w:tr>
      <w:tr w:rsidR="00851F82" w:rsidRPr="003A687A" w14:paraId="65269DF6" w14:textId="77777777" w:rsidTr="00AA60C0">
        <w:trPr>
          <w:trHeight w:val="300"/>
        </w:trPr>
        <w:tc>
          <w:tcPr>
            <w:tcW w:w="1575" w:type="dxa"/>
            <w:shd w:val="clear" w:color="auto" w:fill="CCFFCC"/>
          </w:tcPr>
          <w:p w14:paraId="0ECB06AE" w14:textId="77777777" w:rsidR="00851F82" w:rsidRPr="003A687A" w:rsidRDefault="00851F82" w:rsidP="00AA60C0">
            <w:pPr>
              <w:snapToGrid w:val="0"/>
              <w:spacing w:after="0" w:line="240" w:lineRule="auto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5370" w:type="dxa"/>
          </w:tcPr>
          <w:p w14:paraId="1DCC0A32" w14:textId="77777777" w:rsidR="00851F82" w:rsidRPr="00D4212B" w:rsidRDefault="00851F82" w:rsidP="00AA60C0">
            <w:pPr>
              <w:snapToGrid w:val="0"/>
              <w:spacing w:after="0" w:line="240" w:lineRule="auto"/>
              <w:ind w:left="347" w:hanging="347"/>
              <w:rPr>
                <w:rFonts w:ascii="Times New Roman" w:eastAsia="Aptos" w:hAnsi="Times New Roman" w:cs="Times New Roman"/>
              </w:rPr>
            </w:pPr>
            <w:r w:rsidRPr="00D4212B">
              <w:rPr>
                <w:rFonts w:ascii="Times New Roman" w:eastAsia="Aptos" w:hAnsi="Times New Roman" w:cs="Times New Roman"/>
                <w:b/>
              </w:rPr>
              <w:t>Identification of Learners’ Communication Needs</w:t>
            </w:r>
          </w:p>
          <w:p w14:paraId="37AFD07E" w14:textId="77777777" w:rsidR="00851F82" w:rsidRPr="00D4212B" w:rsidRDefault="00851F82" w:rsidP="00851F82">
            <w:pPr>
              <w:pStyle w:val="ListParagraph"/>
              <w:numPr>
                <w:ilvl w:val="1"/>
                <w:numId w:val="1"/>
              </w:numPr>
              <w:snapToGrid w:val="0"/>
              <w:spacing w:after="0" w:line="240" w:lineRule="auto"/>
              <w:ind w:left="347" w:hanging="347"/>
              <w:rPr>
                <w:rFonts w:ascii="Times New Roman" w:eastAsia="Times New Roman" w:hAnsi="Times New Roman" w:cs="Times New Roman"/>
              </w:rPr>
            </w:pPr>
            <w:r w:rsidRPr="00D4212B">
              <w:rPr>
                <w:rFonts w:ascii="Times New Roman" w:eastAsia="Times New Roman" w:hAnsi="Times New Roman" w:cs="Times New Roman"/>
              </w:rPr>
              <w:t>Identify students’ communication needs and solicit support from the Language Centre as appropriate</w:t>
            </w:r>
          </w:p>
        </w:tc>
        <w:tc>
          <w:tcPr>
            <w:tcW w:w="2140" w:type="dxa"/>
          </w:tcPr>
          <w:p w14:paraId="6EDE51AE" w14:textId="77777777" w:rsidR="00851F82" w:rsidRPr="003A687A" w:rsidRDefault="00851F82" w:rsidP="00AA60C0">
            <w:pPr>
              <w:snapToGrid w:val="0"/>
              <w:spacing w:after="0" w:line="240" w:lineRule="auto"/>
              <w:rPr>
                <w:rFonts w:ascii="Times New Roman" w:eastAsia="Aptos" w:hAnsi="Times New Roman" w:cs="Times New Roman"/>
              </w:rPr>
            </w:pPr>
            <w:r w:rsidRPr="003A687A">
              <w:rPr>
                <w:rFonts w:ascii="Times New Roman" w:eastAsia="Aptos" w:hAnsi="Times New Roman" w:cs="Times New Roman"/>
              </w:rPr>
              <w:t>All Outcomes</w:t>
            </w:r>
          </w:p>
          <w:p w14:paraId="61F06D3B" w14:textId="77777777" w:rsidR="00851F82" w:rsidRPr="003A687A" w:rsidRDefault="00851F82" w:rsidP="00AA60C0">
            <w:pPr>
              <w:snapToGrid w:val="0"/>
              <w:spacing w:after="0" w:line="240" w:lineRule="auto"/>
              <w:rPr>
                <w:rFonts w:ascii="Times New Roman" w:eastAsia="Aptos" w:hAnsi="Times New Roman" w:cs="Times New Roman"/>
              </w:rPr>
            </w:pPr>
          </w:p>
          <w:p w14:paraId="5F9B555C" w14:textId="77777777" w:rsidR="00851F82" w:rsidRPr="003A687A" w:rsidRDefault="00851F82" w:rsidP="00AA60C0">
            <w:pPr>
              <w:snapToGrid w:val="0"/>
              <w:spacing w:after="0" w:line="240" w:lineRule="auto"/>
              <w:rPr>
                <w:rFonts w:ascii="Times New Roman" w:eastAsia="Aptos" w:hAnsi="Times New Roman" w:cs="Times New Roman"/>
              </w:rPr>
            </w:pPr>
          </w:p>
        </w:tc>
      </w:tr>
      <w:tr w:rsidR="00851F82" w:rsidRPr="003A687A" w14:paraId="1F0A677D" w14:textId="77777777" w:rsidTr="00AA60C0">
        <w:trPr>
          <w:trHeight w:val="300"/>
        </w:trPr>
        <w:tc>
          <w:tcPr>
            <w:tcW w:w="1575" w:type="dxa"/>
            <w:shd w:val="clear" w:color="auto" w:fill="CCFFCC"/>
          </w:tcPr>
          <w:p w14:paraId="1586C3A8" w14:textId="77777777" w:rsidR="00851F82" w:rsidRPr="003A687A" w:rsidRDefault="00851F82" w:rsidP="00AA60C0">
            <w:pPr>
              <w:snapToGrid w:val="0"/>
              <w:spacing w:after="0" w:line="240" w:lineRule="auto"/>
              <w:rPr>
                <w:rFonts w:ascii="Times New Roman" w:eastAsia="Aptos" w:hAnsi="Times New Roman" w:cs="Times New Roman"/>
              </w:rPr>
            </w:pPr>
            <w:r w:rsidRPr="003A687A">
              <w:rPr>
                <w:rFonts w:ascii="Times New Roman" w:eastAsia="Aptos" w:hAnsi="Times New Roman" w:cs="Times New Roman"/>
              </w:rPr>
              <w:t>Students</w:t>
            </w:r>
          </w:p>
        </w:tc>
        <w:tc>
          <w:tcPr>
            <w:tcW w:w="5370" w:type="dxa"/>
          </w:tcPr>
          <w:p w14:paraId="6E0CBCF9" w14:textId="77777777" w:rsidR="00851F82" w:rsidRPr="003A687A" w:rsidRDefault="00851F82" w:rsidP="00AA60C0">
            <w:pPr>
              <w:snapToGrid w:val="0"/>
              <w:spacing w:after="0" w:line="240" w:lineRule="auto"/>
              <w:ind w:left="347" w:hanging="347"/>
              <w:rPr>
                <w:rFonts w:ascii="Times New Roman" w:eastAsia="Times New Roman" w:hAnsi="Times New Roman" w:cs="Times New Roman"/>
              </w:rPr>
            </w:pPr>
            <w:r w:rsidRPr="003A687A">
              <w:rPr>
                <w:rFonts w:ascii="Times New Roman" w:eastAsia="Aptos" w:hAnsi="Times New Roman" w:cs="Times New Roman"/>
                <w:b/>
                <w:bCs/>
              </w:rPr>
              <w:t>Active Learning</w:t>
            </w:r>
          </w:p>
          <w:p w14:paraId="79BA9E74" w14:textId="77777777" w:rsidR="00851F82" w:rsidRPr="003A687A" w:rsidRDefault="00851F82" w:rsidP="00851F82">
            <w:pPr>
              <w:pStyle w:val="ListParagraph"/>
              <w:numPr>
                <w:ilvl w:val="1"/>
                <w:numId w:val="1"/>
              </w:numPr>
              <w:snapToGrid w:val="0"/>
              <w:spacing w:after="0" w:line="240" w:lineRule="auto"/>
              <w:ind w:left="347" w:hanging="347"/>
              <w:rPr>
                <w:rFonts w:ascii="Times New Roman" w:eastAsia="Times New Roman" w:hAnsi="Times New Roman" w:cs="Times New Roman"/>
              </w:rPr>
            </w:pPr>
            <w:r w:rsidRPr="003A687A">
              <w:rPr>
                <w:rFonts w:ascii="Times New Roman" w:eastAsia="Times New Roman" w:hAnsi="Times New Roman" w:cs="Times New Roman"/>
              </w:rPr>
              <w:t>Engage actively in in-class learning and discussion</w:t>
            </w:r>
          </w:p>
          <w:p w14:paraId="075DCE0B" w14:textId="77777777" w:rsidR="00851F82" w:rsidRPr="003A687A" w:rsidRDefault="00851F82" w:rsidP="00851F82">
            <w:pPr>
              <w:pStyle w:val="ListParagraph"/>
              <w:numPr>
                <w:ilvl w:val="1"/>
                <w:numId w:val="1"/>
              </w:numPr>
              <w:snapToGrid w:val="0"/>
              <w:spacing w:after="0" w:line="240" w:lineRule="auto"/>
              <w:ind w:left="347" w:hanging="347"/>
              <w:rPr>
                <w:rFonts w:ascii="Times New Roman" w:eastAsia="Times New Roman" w:hAnsi="Times New Roman" w:cs="Times New Roman"/>
              </w:rPr>
            </w:pPr>
            <w:proofErr w:type="spellStart"/>
            <w:r w:rsidRPr="003A687A">
              <w:rPr>
                <w:rFonts w:ascii="Times New Roman" w:eastAsia="Times New Roman" w:hAnsi="Times New Roman" w:cs="Times New Roman"/>
              </w:rPr>
              <w:t>Utilise</w:t>
            </w:r>
            <w:proofErr w:type="spellEnd"/>
            <w:r w:rsidRPr="003A687A">
              <w:rPr>
                <w:rFonts w:ascii="Times New Roman" w:eastAsia="Times New Roman" w:hAnsi="Times New Roman" w:cs="Times New Roman"/>
              </w:rPr>
              <w:t xml:space="preserve"> available resources, including AI technology and facilities to improve written and </w:t>
            </w:r>
            <w:r w:rsidRPr="003A687A">
              <w:rPr>
                <w:rFonts w:ascii="Times New Roman" w:eastAsia="Times New Roman" w:hAnsi="Times New Roman" w:cs="Times New Roman"/>
              </w:rPr>
              <w:lastRenderedPageBreak/>
              <w:t>oral communication skills</w:t>
            </w:r>
          </w:p>
          <w:p w14:paraId="34B61FE3" w14:textId="77777777" w:rsidR="00851F82" w:rsidRPr="003A687A" w:rsidRDefault="00851F82" w:rsidP="00851F82">
            <w:pPr>
              <w:pStyle w:val="ListParagraph"/>
              <w:numPr>
                <w:ilvl w:val="1"/>
                <w:numId w:val="1"/>
              </w:numPr>
              <w:snapToGrid w:val="0"/>
              <w:spacing w:after="0" w:line="240" w:lineRule="auto"/>
              <w:ind w:left="347" w:hanging="347"/>
              <w:rPr>
                <w:rFonts w:ascii="Times New Roman" w:eastAsia="Times New Roman" w:hAnsi="Times New Roman" w:cs="Times New Roman"/>
              </w:rPr>
            </w:pPr>
            <w:r w:rsidRPr="003A687A">
              <w:rPr>
                <w:rFonts w:ascii="Times New Roman" w:eastAsia="Times New Roman" w:hAnsi="Times New Roman" w:cs="Times New Roman"/>
              </w:rPr>
              <w:t>Participate actively in language exchange and cross-cultural activities</w:t>
            </w:r>
          </w:p>
          <w:p w14:paraId="49F22187" w14:textId="77777777" w:rsidR="00851F82" w:rsidRPr="003A687A" w:rsidRDefault="00851F82" w:rsidP="00AA60C0">
            <w:pPr>
              <w:snapToGrid w:val="0"/>
              <w:spacing w:after="0" w:line="240" w:lineRule="auto"/>
              <w:ind w:left="347" w:hanging="347"/>
              <w:rPr>
                <w:rFonts w:ascii="Times New Roman" w:eastAsia="Aptos" w:hAnsi="Times New Roman" w:cs="Times New Roman"/>
                <w:b/>
                <w:bCs/>
              </w:rPr>
            </w:pPr>
            <w:r w:rsidRPr="003A687A">
              <w:rPr>
                <w:rFonts w:ascii="Times New Roman" w:eastAsia="Aptos" w:hAnsi="Times New Roman" w:cs="Times New Roman"/>
                <w:b/>
                <w:bCs/>
              </w:rPr>
              <w:t>Proactive Self-Improvement</w:t>
            </w:r>
          </w:p>
          <w:p w14:paraId="68FD1E9E" w14:textId="77777777" w:rsidR="00851F82" w:rsidRPr="003A687A" w:rsidRDefault="00851F82" w:rsidP="00851F82">
            <w:pPr>
              <w:numPr>
                <w:ilvl w:val="1"/>
                <w:numId w:val="1"/>
              </w:numPr>
              <w:snapToGrid w:val="0"/>
              <w:spacing w:after="0" w:line="240" w:lineRule="auto"/>
              <w:ind w:left="347" w:hanging="347"/>
              <w:rPr>
                <w:rFonts w:ascii="Times New Roman" w:eastAsia="Times New Roman" w:hAnsi="Times New Roman" w:cs="Times New Roman"/>
              </w:rPr>
            </w:pPr>
            <w:r w:rsidRPr="003A687A">
              <w:rPr>
                <w:rFonts w:ascii="Times New Roman" w:eastAsia="Times New Roman" w:hAnsi="Times New Roman" w:cs="Times New Roman"/>
              </w:rPr>
              <w:t xml:space="preserve">Be self-aware of language needs related to professional and career prospects and proactively seek support from the Language Centre and academic </w:t>
            </w:r>
            <w:proofErr w:type="spellStart"/>
            <w:r w:rsidRPr="003A687A">
              <w:rPr>
                <w:rFonts w:ascii="Times New Roman" w:eastAsia="Times New Roman" w:hAnsi="Times New Roman" w:cs="Times New Roman"/>
              </w:rPr>
              <w:t>programmes</w:t>
            </w:r>
            <w:proofErr w:type="spellEnd"/>
            <w:r w:rsidRPr="003A687A">
              <w:rPr>
                <w:rFonts w:ascii="Times New Roman" w:eastAsia="Times New Roman" w:hAnsi="Times New Roman" w:cs="Times New Roman"/>
              </w:rPr>
              <w:t xml:space="preserve"> and departments.</w:t>
            </w:r>
          </w:p>
          <w:p w14:paraId="518C86CA" w14:textId="77777777" w:rsidR="00851F82" w:rsidRPr="003A687A" w:rsidRDefault="00851F82" w:rsidP="00851F82">
            <w:pPr>
              <w:numPr>
                <w:ilvl w:val="1"/>
                <w:numId w:val="1"/>
              </w:numPr>
              <w:snapToGrid w:val="0"/>
              <w:spacing w:after="0" w:line="240" w:lineRule="auto"/>
              <w:ind w:left="347" w:hanging="347"/>
              <w:rPr>
                <w:rFonts w:ascii="Times New Roman" w:eastAsia="Times New Roman" w:hAnsi="Times New Roman" w:cs="Times New Roman"/>
              </w:rPr>
            </w:pPr>
            <w:proofErr w:type="gramStart"/>
            <w:r w:rsidRPr="003A687A">
              <w:rPr>
                <w:rFonts w:ascii="Times New Roman" w:eastAsia="Times New Roman" w:hAnsi="Times New Roman" w:cs="Times New Roman"/>
              </w:rPr>
              <w:t>Participate</w:t>
            </w:r>
            <w:proofErr w:type="gramEnd"/>
            <w:r w:rsidRPr="003A687A">
              <w:rPr>
                <w:rFonts w:ascii="Times New Roman" w:eastAsia="Times New Roman" w:hAnsi="Times New Roman" w:cs="Times New Roman"/>
              </w:rPr>
              <w:t xml:space="preserve"> in different </w:t>
            </w:r>
            <w:proofErr w:type="spellStart"/>
            <w:r w:rsidRPr="003A687A">
              <w:rPr>
                <w:rFonts w:ascii="Times New Roman" w:eastAsia="Times New Roman" w:hAnsi="Times New Roman" w:cs="Times New Roman"/>
              </w:rPr>
              <w:t>programmes</w:t>
            </w:r>
            <w:proofErr w:type="spellEnd"/>
            <w:r w:rsidRPr="003A687A">
              <w:rPr>
                <w:rFonts w:ascii="Times New Roman" w:eastAsia="Times New Roman" w:hAnsi="Times New Roman" w:cs="Times New Roman"/>
              </w:rPr>
              <w:t xml:space="preserve"> to offer help and be helped</w:t>
            </w:r>
          </w:p>
        </w:tc>
        <w:tc>
          <w:tcPr>
            <w:tcW w:w="2140" w:type="dxa"/>
          </w:tcPr>
          <w:p w14:paraId="171BC2BC" w14:textId="77777777" w:rsidR="00851F82" w:rsidRPr="003A687A" w:rsidRDefault="00851F82" w:rsidP="00AA60C0">
            <w:pPr>
              <w:snapToGrid w:val="0"/>
              <w:spacing w:after="0" w:line="240" w:lineRule="auto"/>
              <w:rPr>
                <w:rFonts w:ascii="Times New Roman" w:eastAsia="Aptos" w:hAnsi="Times New Roman" w:cs="Times New Roman"/>
              </w:rPr>
            </w:pPr>
            <w:r w:rsidRPr="003A687A">
              <w:rPr>
                <w:rFonts w:ascii="Times New Roman" w:eastAsia="Aptos" w:hAnsi="Times New Roman" w:cs="Times New Roman"/>
              </w:rPr>
              <w:lastRenderedPageBreak/>
              <w:t>All Outcomes </w:t>
            </w:r>
          </w:p>
        </w:tc>
      </w:tr>
      <w:tr w:rsidR="00851F82" w:rsidRPr="003A687A" w14:paraId="7753E6F6" w14:textId="77777777" w:rsidTr="00AA60C0">
        <w:trPr>
          <w:trHeight w:val="300"/>
        </w:trPr>
        <w:tc>
          <w:tcPr>
            <w:tcW w:w="1575" w:type="dxa"/>
            <w:shd w:val="clear" w:color="auto" w:fill="CCFFCC"/>
          </w:tcPr>
          <w:p w14:paraId="6D30DAEF" w14:textId="77777777" w:rsidR="00851F82" w:rsidRPr="003A687A" w:rsidRDefault="00851F82" w:rsidP="00AA60C0">
            <w:pPr>
              <w:snapToGrid w:val="0"/>
              <w:spacing w:after="0" w:line="240" w:lineRule="auto"/>
              <w:rPr>
                <w:rFonts w:ascii="Times New Roman" w:eastAsia="Aptos" w:hAnsi="Times New Roman" w:cs="Times New Roman"/>
              </w:rPr>
            </w:pPr>
            <w:r w:rsidRPr="003A687A">
              <w:rPr>
                <w:rFonts w:ascii="Times New Roman" w:eastAsia="Aptos" w:hAnsi="Times New Roman" w:cs="Times New Roman"/>
              </w:rPr>
              <w:t>Technology  </w:t>
            </w:r>
          </w:p>
        </w:tc>
        <w:tc>
          <w:tcPr>
            <w:tcW w:w="5370" w:type="dxa"/>
          </w:tcPr>
          <w:p w14:paraId="064BE954" w14:textId="77777777" w:rsidR="00851F82" w:rsidRPr="003A687A" w:rsidRDefault="00851F82" w:rsidP="00AA60C0">
            <w:pPr>
              <w:snapToGrid w:val="0"/>
              <w:spacing w:after="0" w:line="240" w:lineRule="auto"/>
              <w:rPr>
                <w:rFonts w:ascii="Times New Roman" w:eastAsia="Aptos" w:hAnsi="Times New Roman" w:cs="Times New Roman"/>
                <w:b/>
                <w:bCs/>
              </w:rPr>
            </w:pPr>
            <w:r w:rsidRPr="003A687A">
              <w:rPr>
                <w:rFonts w:ascii="Times New Roman" w:eastAsia="Aptos" w:hAnsi="Times New Roman" w:cs="Times New Roman"/>
                <w:b/>
                <w:bCs/>
              </w:rPr>
              <w:t>Student and Teacher Support</w:t>
            </w:r>
          </w:p>
          <w:p w14:paraId="29430193" w14:textId="77777777" w:rsidR="00851F82" w:rsidRPr="003A687A" w:rsidRDefault="00851F82" w:rsidP="00AA60C0">
            <w:pPr>
              <w:snapToGrid w:val="0"/>
              <w:spacing w:after="0" w:line="240" w:lineRule="auto"/>
              <w:rPr>
                <w:rFonts w:ascii="Times New Roman" w:eastAsia="Aptos" w:hAnsi="Times New Roman" w:cs="Times New Roman"/>
                <w:b/>
                <w:bCs/>
              </w:rPr>
            </w:pPr>
            <w:r w:rsidRPr="003A687A">
              <w:rPr>
                <w:rFonts w:ascii="Times New Roman" w:eastAsia="Aptos" w:hAnsi="Times New Roman" w:cs="Times New Roman"/>
                <w:b/>
                <w:bCs/>
              </w:rPr>
              <w:t>Examples include:</w:t>
            </w:r>
          </w:p>
          <w:p w14:paraId="0AA037E0" w14:textId="77777777" w:rsidR="00851F82" w:rsidRPr="003A687A" w:rsidRDefault="00851F82" w:rsidP="00AA60C0">
            <w:pPr>
              <w:pStyle w:val="ListParagraph"/>
              <w:snapToGrid w:val="0"/>
              <w:spacing w:after="0" w:line="240" w:lineRule="auto"/>
              <w:ind w:left="306" w:hanging="284"/>
              <w:rPr>
                <w:rFonts w:ascii="Times New Roman" w:eastAsia="Aptos" w:hAnsi="Times New Roman" w:cs="Times New Roman"/>
                <w:b/>
                <w:bCs/>
              </w:rPr>
            </w:pPr>
            <w:proofErr w:type="gramStart"/>
            <w:r w:rsidRPr="003A687A">
              <w:rPr>
                <w:rFonts w:ascii="Times New Roman" w:eastAsia="Aptos" w:hAnsi="Times New Roman" w:cs="Times New Roman"/>
              </w:rPr>
              <w:t xml:space="preserve">- </w:t>
            </w:r>
            <w:r>
              <w:rPr>
                <w:rFonts w:ascii="Times New Roman" w:eastAsia="Aptos" w:hAnsi="Times New Roman" w:cs="Times New Roman"/>
              </w:rPr>
              <w:t xml:space="preserve"> </w:t>
            </w:r>
            <w:r w:rsidRPr="003A687A">
              <w:rPr>
                <w:rFonts w:ascii="Times New Roman" w:eastAsia="Aptos" w:hAnsi="Times New Roman" w:cs="Times New Roman"/>
              </w:rPr>
              <w:t>Enhance</w:t>
            </w:r>
            <w:proofErr w:type="gramEnd"/>
            <w:r w:rsidRPr="003A687A">
              <w:rPr>
                <w:rFonts w:ascii="Times New Roman" w:eastAsia="Aptos" w:hAnsi="Times New Roman" w:cs="Times New Roman"/>
              </w:rPr>
              <w:t xml:space="preserve"> multimodal communication skills for storytelling and real-world applications</w:t>
            </w:r>
          </w:p>
          <w:p w14:paraId="3F8C4D30" w14:textId="77777777" w:rsidR="00851F82" w:rsidRPr="003A687A" w:rsidRDefault="00851F82" w:rsidP="00851F82">
            <w:pPr>
              <w:pStyle w:val="ListParagraph"/>
              <w:numPr>
                <w:ilvl w:val="1"/>
                <w:numId w:val="1"/>
              </w:numPr>
              <w:snapToGrid w:val="0"/>
              <w:spacing w:after="0" w:line="240" w:lineRule="auto"/>
              <w:ind w:left="347" w:hanging="347"/>
              <w:rPr>
                <w:rFonts w:ascii="Times New Roman" w:eastAsia="Aptos" w:hAnsi="Times New Roman" w:cs="Times New Roman"/>
              </w:rPr>
            </w:pPr>
            <w:r w:rsidRPr="003A687A">
              <w:rPr>
                <w:rFonts w:ascii="Times New Roman" w:eastAsia="Aptos" w:hAnsi="Times New Roman" w:cs="Times New Roman"/>
              </w:rPr>
              <w:t>Act as a sounding board to help students self-</w:t>
            </w:r>
            <w:proofErr w:type="spellStart"/>
            <w:r w:rsidRPr="003A687A">
              <w:rPr>
                <w:rFonts w:ascii="Times New Roman" w:eastAsia="Aptos" w:hAnsi="Times New Roman" w:cs="Times New Roman"/>
              </w:rPr>
              <w:t>analyse</w:t>
            </w:r>
            <w:proofErr w:type="spellEnd"/>
            <w:r w:rsidRPr="003A687A">
              <w:rPr>
                <w:rFonts w:ascii="Times New Roman" w:eastAsia="Aptos" w:hAnsi="Times New Roman" w:cs="Times New Roman"/>
              </w:rPr>
              <w:t xml:space="preserve"> their writing and troubleshoot</w:t>
            </w:r>
          </w:p>
          <w:p w14:paraId="047A08DA" w14:textId="77777777" w:rsidR="00851F82" w:rsidRPr="003A687A" w:rsidRDefault="00851F82" w:rsidP="00851F82">
            <w:pPr>
              <w:pStyle w:val="ListParagraph"/>
              <w:numPr>
                <w:ilvl w:val="1"/>
                <w:numId w:val="1"/>
              </w:numPr>
              <w:adjustRightInd w:val="0"/>
              <w:snapToGrid w:val="0"/>
              <w:spacing w:after="0" w:line="240" w:lineRule="auto"/>
              <w:ind w:left="346" w:hanging="346"/>
              <w:rPr>
                <w:rFonts w:ascii="Times New Roman" w:eastAsia="Aptos" w:hAnsi="Times New Roman" w:cs="Times New Roman"/>
              </w:rPr>
            </w:pPr>
            <w:r w:rsidRPr="003A687A">
              <w:rPr>
                <w:rFonts w:ascii="Times New Roman" w:eastAsia="Aptos" w:hAnsi="Times New Roman" w:cs="Times New Roman"/>
              </w:rPr>
              <w:t>Enable multi-party collaboration and improve communication effectiveness</w:t>
            </w:r>
          </w:p>
          <w:p w14:paraId="58B24193" w14:textId="77777777" w:rsidR="00851F82" w:rsidRPr="003A687A" w:rsidRDefault="00851F82" w:rsidP="00851F82">
            <w:pPr>
              <w:pStyle w:val="ListParagraph"/>
              <w:numPr>
                <w:ilvl w:val="1"/>
                <w:numId w:val="1"/>
              </w:numPr>
              <w:snapToGrid w:val="0"/>
              <w:spacing w:after="0" w:line="240" w:lineRule="auto"/>
              <w:ind w:left="347" w:hanging="347"/>
              <w:rPr>
                <w:rFonts w:ascii="Times New Roman" w:eastAsia="Aptos" w:hAnsi="Times New Roman" w:cs="Times New Roman"/>
              </w:rPr>
            </w:pPr>
            <w:r w:rsidRPr="003A687A">
              <w:rPr>
                <w:rFonts w:ascii="Times New Roman" w:eastAsia="Aptos" w:hAnsi="Times New Roman" w:cs="Times New Roman"/>
              </w:rPr>
              <w:t xml:space="preserve">Co-assess students’ work with teachers, providing timely, constructive and </w:t>
            </w:r>
            <w:proofErr w:type="spellStart"/>
            <w:r w:rsidRPr="003A687A">
              <w:rPr>
                <w:rFonts w:ascii="Times New Roman" w:eastAsia="Aptos" w:hAnsi="Times New Roman" w:cs="Times New Roman"/>
              </w:rPr>
              <w:t>personalised</w:t>
            </w:r>
            <w:proofErr w:type="spellEnd"/>
            <w:r w:rsidRPr="003A687A">
              <w:rPr>
                <w:rFonts w:ascii="Times New Roman" w:eastAsia="Aptos" w:hAnsi="Times New Roman" w:cs="Times New Roman"/>
              </w:rPr>
              <w:t xml:space="preserve"> evaluation</w:t>
            </w:r>
          </w:p>
          <w:p w14:paraId="498A8EF3" w14:textId="77777777" w:rsidR="00851F82" w:rsidRPr="003A687A" w:rsidRDefault="00851F82" w:rsidP="00851F82">
            <w:pPr>
              <w:pStyle w:val="ListParagraph"/>
              <w:numPr>
                <w:ilvl w:val="1"/>
                <w:numId w:val="1"/>
              </w:numPr>
              <w:snapToGrid w:val="0"/>
              <w:spacing w:after="0" w:line="240" w:lineRule="auto"/>
              <w:ind w:left="347" w:hanging="347"/>
              <w:rPr>
                <w:rFonts w:ascii="Times New Roman" w:eastAsia="Aptos" w:hAnsi="Times New Roman" w:cs="Times New Roman"/>
              </w:rPr>
            </w:pPr>
            <w:r w:rsidRPr="003A687A">
              <w:rPr>
                <w:rFonts w:ascii="Times New Roman" w:eastAsia="Aptos" w:hAnsi="Times New Roman" w:cs="Times New Roman"/>
              </w:rPr>
              <w:t xml:space="preserve">Enable </w:t>
            </w:r>
            <w:proofErr w:type="spellStart"/>
            <w:r w:rsidRPr="003A687A">
              <w:rPr>
                <w:rFonts w:ascii="Times New Roman" w:eastAsia="Aptos" w:hAnsi="Times New Roman" w:cs="Times New Roman"/>
              </w:rPr>
              <w:t>personalised</w:t>
            </w:r>
            <w:proofErr w:type="spellEnd"/>
            <w:r w:rsidRPr="003A687A">
              <w:rPr>
                <w:rFonts w:ascii="Times New Roman" w:eastAsia="Aptos" w:hAnsi="Times New Roman" w:cs="Times New Roman"/>
              </w:rPr>
              <w:t xml:space="preserve"> support to students</w:t>
            </w:r>
          </w:p>
          <w:p w14:paraId="639AE55B" w14:textId="77777777" w:rsidR="00851F82" w:rsidRPr="003A687A" w:rsidRDefault="00851F82" w:rsidP="00AA60C0">
            <w:pPr>
              <w:snapToGrid w:val="0"/>
              <w:spacing w:after="0" w:line="240" w:lineRule="auto"/>
              <w:rPr>
                <w:rFonts w:ascii="Times New Roman" w:eastAsia="Aptos" w:hAnsi="Times New Roman" w:cs="Times New Roman"/>
                <w:b/>
                <w:bCs/>
              </w:rPr>
            </w:pPr>
            <w:r w:rsidRPr="003A687A">
              <w:rPr>
                <w:rFonts w:ascii="Times New Roman" w:eastAsia="Aptos" w:hAnsi="Times New Roman" w:cs="Times New Roman"/>
                <w:b/>
                <w:bCs/>
              </w:rPr>
              <w:t xml:space="preserve">Equitable Access </w:t>
            </w:r>
          </w:p>
          <w:p w14:paraId="485DAF2C" w14:textId="77777777" w:rsidR="00851F82" w:rsidRPr="003A687A" w:rsidRDefault="00851F82" w:rsidP="00851F82">
            <w:pPr>
              <w:pStyle w:val="ListParagraph"/>
              <w:numPr>
                <w:ilvl w:val="1"/>
                <w:numId w:val="1"/>
              </w:numPr>
              <w:snapToGrid w:val="0"/>
              <w:spacing w:after="0" w:line="240" w:lineRule="auto"/>
              <w:ind w:left="347" w:hanging="347"/>
              <w:rPr>
                <w:rFonts w:ascii="Times New Roman" w:eastAsia="Aptos" w:hAnsi="Times New Roman" w:cs="Times New Roman"/>
              </w:rPr>
            </w:pPr>
            <w:r w:rsidRPr="003A687A">
              <w:rPr>
                <w:rFonts w:ascii="Times New Roman" w:eastAsia="Aptos" w:hAnsi="Times New Roman" w:cs="Times New Roman"/>
              </w:rPr>
              <w:t>Provide access to a wide range of resources and support flexible and self-paced learning</w:t>
            </w:r>
          </w:p>
          <w:p w14:paraId="4D160007" w14:textId="77777777" w:rsidR="00851F82" w:rsidRPr="003A687A" w:rsidRDefault="00851F82" w:rsidP="00851F82">
            <w:pPr>
              <w:pStyle w:val="ListParagraph"/>
              <w:numPr>
                <w:ilvl w:val="1"/>
                <w:numId w:val="1"/>
              </w:numPr>
              <w:snapToGrid w:val="0"/>
              <w:spacing w:after="0" w:line="240" w:lineRule="auto"/>
              <w:ind w:left="347" w:hanging="347"/>
              <w:rPr>
                <w:rFonts w:ascii="Times New Roman" w:eastAsia="Aptos" w:hAnsi="Times New Roman" w:cs="Times New Roman"/>
              </w:rPr>
            </w:pPr>
            <w:r w:rsidRPr="003A687A">
              <w:rPr>
                <w:rFonts w:ascii="Times New Roman" w:eastAsia="Aptos" w:hAnsi="Times New Roman" w:cs="Times New Roman"/>
              </w:rPr>
              <w:t>Provide immersive practice and connect students with international communities</w:t>
            </w:r>
          </w:p>
          <w:p w14:paraId="600BEC99" w14:textId="77777777" w:rsidR="00851F82" w:rsidRPr="003A687A" w:rsidRDefault="00851F82" w:rsidP="00AA60C0">
            <w:pPr>
              <w:pStyle w:val="ListParagraph"/>
              <w:spacing w:after="0" w:line="240" w:lineRule="auto"/>
              <w:ind w:left="347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140" w:type="dxa"/>
          </w:tcPr>
          <w:p w14:paraId="4480A48A" w14:textId="77777777" w:rsidR="00851F82" w:rsidRPr="003A687A" w:rsidRDefault="00851F82" w:rsidP="00AA60C0">
            <w:pPr>
              <w:snapToGrid w:val="0"/>
              <w:spacing w:after="0" w:line="240" w:lineRule="auto"/>
              <w:rPr>
                <w:rFonts w:ascii="Times New Roman" w:eastAsia="Aptos" w:hAnsi="Times New Roman" w:cs="Times New Roman"/>
              </w:rPr>
            </w:pPr>
            <w:r w:rsidRPr="003A687A">
              <w:rPr>
                <w:rFonts w:ascii="Times New Roman" w:eastAsia="Aptos" w:hAnsi="Times New Roman" w:cs="Times New Roman"/>
              </w:rPr>
              <w:t>All Outcomes</w:t>
            </w:r>
          </w:p>
          <w:p w14:paraId="16351EBF" w14:textId="77777777" w:rsidR="00851F82" w:rsidRPr="003A687A" w:rsidRDefault="00851F82" w:rsidP="00AA60C0">
            <w:pPr>
              <w:snapToGrid w:val="0"/>
              <w:spacing w:after="0" w:line="240" w:lineRule="auto"/>
              <w:rPr>
                <w:rFonts w:ascii="Times New Roman" w:eastAsia="Aptos" w:hAnsi="Times New Roman" w:cs="Times New Roman"/>
              </w:rPr>
            </w:pPr>
            <w:r w:rsidRPr="003A687A">
              <w:rPr>
                <w:rFonts w:ascii="Times New Roman" w:eastAsia="Aptos" w:hAnsi="Times New Roman" w:cs="Times New Roman"/>
              </w:rPr>
              <w:t>  </w:t>
            </w:r>
          </w:p>
          <w:p w14:paraId="0EE94C59" w14:textId="77777777" w:rsidR="00851F82" w:rsidRPr="003A687A" w:rsidRDefault="00851F82" w:rsidP="00AA60C0">
            <w:pPr>
              <w:snapToGrid w:val="0"/>
              <w:spacing w:after="0" w:line="240" w:lineRule="auto"/>
              <w:rPr>
                <w:rFonts w:ascii="Times New Roman" w:eastAsia="Aptos" w:hAnsi="Times New Roman" w:cs="Times New Roman"/>
              </w:rPr>
            </w:pPr>
            <w:r w:rsidRPr="003A687A">
              <w:rPr>
                <w:rFonts w:ascii="Times New Roman" w:eastAsia="Aptos" w:hAnsi="Times New Roman" w:cs="Times New Roman"/>
              </w:rPr>
              <w:t>  </w:t>
            </w:r>
          </w:p>
          <w:p w14:paraId="2722A656" w14:textId="77777777" w:rsidR="00851F82" w:rsidRPr="003A687A" w:rsidRDefault="00851F82" w:rsidP="00AA60C0">
            <w:pPr>
              <w:snapToGrid w:val="0"/>
              <w:spacing w:after="0" w:line="240" w:lineRule="auto"/>
              <w:rPr>
                <w:rFonts w:ascii="Times New Roman" w:eastAsia="Aptos" w:hAnsi="Times New Roman" w:cs="Times New Roman"/>
              </w:rPr>
            </w:pPr>
            <w:r w:rsidRPr="003A687A">
              <w:rPr>
                <w:rFonts w:ascii="Times New Roman" w:eastAsia="Aptos" w:hAnsi="Times New Roman" w:cs="Times New Roman"/>
              </w:rPr>
              <w:t>  </w:t>
            </w:r>
          </w:p>
        </w:tc>
      </w:tr>
    </w:tbl>
    <w:p w14:paraId="68D074A2" w14:textId="77777777" w:rsidR="00851F82" w:rsidRDefault="00851F82" w:rsidP="00851F82">
      <w:r>
        <w:br w:type="page"/>
      </w:r>
    </w:p>
    <w:tbl>
      <w:tblPr>
        <w:tblW w:w="9085" w:type="dxa"/>
        <w:tblInd w:w="-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5"/>
        <w:gridCol w:w="5370"/>
        <w:gridCol w:w="2140"/>
      </w:tblGrid>
      <w:tr w:rsidR="00851F82" w:rsidRPr="003A687A" w14:paraId="1B09AA8B" w14:textId="77777777" w:rsidTr="00AA60C0">
        <w:trPr>
          <w:trHeight w:val="300"/>
        </w:trPr>
        <w:tc>
          <w:tcPr>
            <w:tcW w:w="1575" w:type="dxa"/>
            <w:shd w:val="clear" w:color="auto" w:fill="CCFFCC"/>
          </w:tcPr>
          <w:p w14:paraId="20176211" w14:textId="77777777" w:rsidR="00851F82" w:rsidRPr="003A687A" w:rsidRDefault="00851F82" w:rsidP="00AA60C0">
            <w:pPr>
              <w:snapToGrid w:val="0"/>
              <w:spacing w:after="0" w:line="240" w:lineRule="auto"/>
              <w:rPr>
                <w:rFonts w:ascii="Times New Roman" w:eastAsia="Aptos" w:hAnsi="Times New Roman" w:cs="Times New Roman"/>
              </w:rPr>
            </w:pPr>
            <w:r w:rsidRPr="003A687A">
              <w:rPr>
                <w:rFonts w:ascii="Times New Roman" w:eastAsia="Aptos" w:hAnsi="Times New Roman" w:cs="Times New Roman"/>
              </w:rPr>
              <w:lastRenderedPageBreak/>
              <w:t>All support units including student residential halls and colleges</w:t>
            </w:r>
          </w:p>
        </w:tc>
        <w:tc>
          <w:tcPr>
            <w:tcW w:w="5370" w:type="dxa"/>
          </w:tcPr>
          <w:p w14:paraId="3C19D947" w14:textId="77777777" w:rsidR="00851F82" w:rsidRPr="003A687A" w:rsidRDefault="00851F82" w:rsidP="00851F82">
            <w:pPr>
              <w:pStyle w:val="ListParagraph"/>
              <w:numPr>
                <w:ilvl w:val="1"/>
                <w:numId w:val="1"/>
              </w:numPr>
              <w:snapToGrid w:val="0"/>
              <w:spacing w:after="0" w:line="240" w:lineRule="auto"/>
              <w:ind w:left="347" w:hanging="347"/>
              <w:rPr>
                <w:rFonts w:ascii="Times New Roman" w:eastAsia="Aptos" w:hAnsi="Times New Roman" w:cs="Times New Roman"/>
              </w:rPr>
            </w:pPr>
            <w:proofErr w:type="gramStart"/>
            <w:r w:rsidRPr="003A687A">
              <w:rPr>
                <w:rFonts w:ascii="Times New Roman" w:eastAsia="Aptos" w:hAnsi="Times New Roman" w:cs="Times New Roman"/>
              </w:rPr>
              <w:t>Create</w:t>
            </w:r>
            <w:proofErr w:type="gramEnd"/>
            <w:r w:rsidRPr="003A687A">
              <w:rPr>
                <w:rFonts w:ascii="Times New Roman" w:eastAsia="Aptos" w:hAnsi="Times New Roman" w:cs="Times New Roman"/>
              </w:rPr>
              <w:t xml:space="preserve"> a campus ambience conducive to language development and inter-cultural communication</w:t>
            </w:r>
          </w:p>
        </w:tc>
        <w:tc>
          <w:tcPr>
            <w:tcW w:w="2140" w:type="dxa"/>
          </w:tcPr>
          <w:p w14:paraId="46B14DFD" w14:textId="77777777" w:rsidR="00851F82" w:rsidRPr="003A687A" w:rsidRDefault="00851F82" w:rsidP="00AA60C0">
            <w:pPr>
              <w:snapToGrid w:val="0"/>
              <w:spacing w:after="0" w:line="240" w:lineRule="auto"/>
              <w:rPr>
                <w:rFonts w:ascii="Times New Roman" w:eastAsia="Aptos" w:hAnsi="Times New Roman" w:cs="Times New Roman"/>
              </w:rPr>
            </w:pPr>
            <w:r w:rsidRPr="003A687A">
              <w:rPr>
                <w:rFonts w:ascii="Times New Roman" w:eastAsia="Aptos" w:hAnsi="Times New Roman" w:cs="Times New Roman"/>
              </w:rPr>
              <w:t>Outcomes 2 and 3</w:t>
            </w:r>
          </w:p>
        </w:tc>
      </w:tr>
    </w:tbl>
    <w:p w14:paraId="70998EEF" w14:textId="77777777" w:rsidR="00304F72" w:rsidRDefault="00304F72"/>
    <w:sectPr w:rsidR="00304F7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9080DA" w14:textId="77777777" w:rsidR="00265A9B" w:rsidRDefault="00265A9B" w:rsidP="00265A9B">
      <w:pPr>
        <w:spacing w:after="0" w:line="240" w:lineRule="auto"/>
      </w:pPr>
      <w:r>
        <w:separator/>
      </w:r>
    </w:p>
  </w:endnote>
  <w:endnote w:type="continuationSeparator" w:id="0">
    <w:p w14:paraId="57D398AF" w14:textId="77777777" w:rsidR="00265A9B" w:rsidRDefault="00265A9B" w:rsidP="00265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EEEB72" w14:textId="77777777" w:rsidR="00265A9B" w:rsidRDefault="00265A9B" w:rsidP="00265A9B">
      <w:pPr>
        <w:spacing w:after="0" w:line="240" w:lineRule="auto"/>
      </w:pPr>
      <w:r>
        <w:separator/>
      </w:r>
    </w:p>
  </w:footnote>
  <w:footnote w:type="continuationSeparator" w:id="0">
    <w:p w14:paraId="7CF8EE9C" w14:textId="77777777" w:rsidR="00265A9B" w:rsidRDefault="00265A9B" w:rsidP="00265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FE08AE"/>
    <w:multiLevelType w:val="hybridMultilevel"/>
    <w:tmpl w:val="606A43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F66C00">
      <w:start w:val="1"/>
      <w:numFmt w:val="bullet"/>
      <w:lvlText w:val="-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439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82"/>
    <w:rsid w:val="001A5668"/>
    <w:rsid w:val="00265A9B"/>
    <w:rsid w:val="002F713E"/>
    <w:rsid w:val="00304F72"/>
    <w:rsid w:val="00824452"/>
    <w:rsid w:val="00851F82"/>
    <w:rsid w:val="00D2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3367C"/>
  <w15:chartTrackingRefBased/>
  <w15:docId w15:val="{981D998F-6023-4D2D-9731-746B73E3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F82"/>
    <w:pPr>
      <w:widowControl w:val="0"/>
    </w:pPr>
    <w:rPr>
      <w:lang w:val="en-US"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1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F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F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F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F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F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F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F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F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F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F8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5A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A9B"/>
    <w:rPr>
      <w:lang w:val="en-US" w:eastAsia="zh-TW"/>
    </w:rPr>
  </w:style>
  <w:style w:type="paragraph" w:styleId="Footer">
    <w:name w:val="footer"/>
    <w:basedOn w:val="Normal"/>
    <w:link w:val="FooterChar"/>
    <w:uiPriority w:val="99"/>
    <w:unhideWhenUsed/>
    <w:rsid w:val="00265A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A9B"/>
    <w:rPr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Hermine CHAN</dc:creator>
  <cp:keywords/>
  <dc:description/>
  <cp:lastModifiedBy>Hermine CHAN</cp:lastModifiedBy>
  <cp:revision>2</cp:revision>
  <dcterms:created xsi:type="dcterms:W3CDTF">2025-04-09T01:31:00Z</dcterms:created>
  <dcterms:modified xsi:type="dcterms:W3CDTF">2025-09-03T02:41:00Z</dcterms:modified>
</cp:coreProperties>
</file>