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Supporting Material 2 — Student Testimonies &amp; Impact</w:t>
      </w:r>
    </w:p>
    <w:bookmarkStart w:id="13" w:name="Xb2ce42ff0e25362e9678de3f02ea4b0b6412c06"/>
    <w:p>
      <w:pPr>
        <w:pStyle w:val="Heading1"/>
      </w:pPr>
      <w:r>
        <w:t xml:space="preserve">Supporting Material 2 — Student Testimonies &amp; Impact Beyond the Classroom</w:t>
      </w:r>
    </w:p>
    <w:p>
      <w:pPr>
        <w:pStyle w:val="FirstParagraph"/>
      </w:pPr>
      <w:r>
        <w:rPr>
          <w:b/>
          <w:bCs/>
        </w:rPr>
        <w:t xml:space="preserve">Entry:</w:t>
      </w:r>
      <w:r>
        <w:t xml:space="preserve"> </w:t>
      </w:r>
      <w:r>
        <w:t xml:space="preserve">Coaches built by teachers: an in-house AI platform through vibe coding for language education</w:t>
      </w:r>
      <w:r>
        <w:t xml:space="preserve"> </w:t>
      </w:r>
      <w:r>
        <w:rPr>
          <w:b/>
          <w:bCs/>
        </w:rPr>
        <w:t xml:space="preserve">Nominee:</w:t>
      </w:r>
      <w:r>
        <w:t xml:space="preserve"> </w:t>
      </w:r>
      <w:r>
        <w:t xml:space="preserve">Simon Wang, Lecturer in English and Innovation Officer, the Language Centre, Hong Kong Baptist University</w:t>
      </w:r>
      <w:r>
        <w:t xml:space="preserve"> </w:t>
      </w:r>
      <w:r>
        <w:rPr>
          <w:b/>
          <w:bCs/>
        </w:rPr>
        <w:t xml:space="preserve">Category:</w:t>
      </w:r>
      <w:r>
        <w:t xml:space="preserve"> </w:t>
      </w:r>
      <w:r>
        <w:t xml:space="preserve">Most Innovative Teacher of the Year (student testimonies — mandatory for this category)</w:t>
      </w:r>
    </w:p>
    <w:bookmarkStart w:id="9" w:name="student-testimonies-published"/>
    <w:p>
      <w:pPr>
        <w:pStyle w:val="Heading2"/>
      </w:pPr>
      <w:r>
        <w:t xml:space="preserve">1. Student testimonies (published)</w:t>
      </w:r>
    </w:p>
    <w:p>
      <w:pPr>
        <w:pStyle w:val="FirstParagraph"/>
      </w:pPr>
      <w:r>
        <w:t xml:space="preserve">From the AI poetry lab (quoted in</w:t>
      </w:r>
      <w:r>
        <w:t xml:space="preserve"> </w:t>
      </w:r>
      <w:r>
        <w:rPr>
          <w:i/>
          <w:iCs/>
        </w:rPr>
        <w:t xml:space="preserve">Nature</w:t>
      </w:r>
      <w:r>
        <w:t xml:space="preserve">, 27 May 2026):</w:t>
      </w:r>
    </w:p>
    <w:p>
      <w:pPr>
        <w:pStyle w:val="BlockText"/>
      </w:pPr>
      <w:r>
        <w:t xml:space="preserve">“The AI chatbot helped me build confidence in choosing words.”</w:t>
      </w:r>
      <w:r>
        <w:t xml:space="preserve"> </w:t>
      </w:r>
      <w:r>
        <w:t xml:space="preserve">— student</w:t>
      </w:r>
    </w:p>
    <w:p>
      <w:pPr>
        <w:pStyle w:val="BlockText"/>
      </w:pPr>
      <w:r>
        <w:t xml:space="preserve">“I’m not a very creative person, but I feel like I can rely on AI to have some sparks in my brain.”</w:t>
      </w:r>
      <w:r>
        <w:t xml:space="preserve"> </w:t>
      </w:r>
      <w:r>
        <w:t xml:space="preserve">— student</w:t>
      </w:r>
    </w:p>
    <w:p>
      <w:pPr>
        <w:pStyle w:val="FirstParagraph"/>
      </w:pPr>
      <w:r>
        <w:t xml:space="preserve">From the speaking-avatar trial (quoted in</w:t>
      </w:r>
      <w:r>
        <w:t xml:space="preserve"> </w:t>
      </w:r>
      <w:r>
        <w:rPr>
          <w:i/>
          <w:iCs/>
        </w:rPr>
        <w:t xml:space="preserve">Journal of English for Academic Purposes</w:t>
      </w:r>
      <w:r>
        <w:t xml:space="preserve">, in press):</w:t>
      </w:r>
    </w:p>
    <w:p>
      <w:pPr>
        <w:pStyle w:val="BlockText"/>
      </w:pPr>
      <w:r>
        <w:t xml:space="preserve">“I wasn’t scared to try a new sentence because it paused and helped me fix it.”</w:t>
      </w:r>
      <w:r>
        <w:t xml:space="preserve"> </w:t>
      </w:r>
      <w:r>
        <w:t xml:space="preserve">— student</w:t>
      </w:r>
    </w:p>
    <w:p>
      <w:pPr>
        <w:pStyle w:val="BlockText"/>
      </w:pPr>
      <w:r>
        <w:t xml:space="preserve">“Q&amp;A practice felt less stressful the second time.”</w:t>
      </w:r>
      <w:r>
        <w:t xml:space="preserve"> </w:t>
      </w:r>
      <w:r>
        <w:t xml:space="preserve">— student</w:t>
      </w:r>
    </w:p>
    <w:p>
      <w:pPr>
        <w:pStyle w:val="FirstParagraph"/>
      </w:pPr>
      <w:r>
        <w:t xml:space="preserve">From the avatar trial — learner control (the</w:t>
      </w:r>
      <w:r>
        <w:t xml:space="preserve"> </w:t>
      </w:r>
      <w:r>
        <w:t xml:space="preserve">“wish list”</w:t>
      </w:r>
      <w:r>
        <w:t xml:space="preserve"> </w:t>
      </w:r>
      <w:r>
        <w:t xml:space="preserve">mechanism):</w:t>
      </w:r>
    </w:p>
    <w:p>
      <w:pPr>
        <w:pStyle w:val="BlockText"/>
      </w:pPr>
      <w:r>
        <w:t xml:space="preserve">Students valued being able to</w:t>
      </w:r>
      <w:r>
        <w:t xml:space="preserve"> </w:t>
      </w:r>
      <w:r>
        <w:t xml:space="preserve">“tell the coach what to do first”</w:t>
      </w:r>
      <w:r>
        <w:t xml:space="preserve"> </w:t>
      </w:r>
      <w:r>
        <w:t xml:space="preserve">or</w:t>
      </w:r>
      <w:r>
        <w:t xml:space="preserve"> </w:t>
      </w:r>
      <w:r>
        <w:t xml:space="preserve">“ask for examples or stop points when needed”</w:t>
      </w:r>
      <w:r>
        <w:t xml:space="preserve"> </w:t>
      </w:r>
      <w:r>
        <w:t xml:space="preserve">— the avatar paraphrased each student’s wish list at the start of every session, which learners described as being</w:t>
      </w:r>
      <w:r>
        <w:t xml:space="preserve"> </w:t>
      </w:r>
      <w:r>
        <w:t xml:space="preserve">“listened to”</w:t>
      </w:r>
      <w:r>
        <w:t xml:space="preserve"> </w:t>
      </w:r>
      <w:r>
        <w:t xml:space="preserve">and</w:t>
      </w:r>
      <w:r>
        <w:t xml:space="preserve"> </w:t>
      </w:r>
      <w:r>
        <w:t xml:space="preserve">“in control”</w:t>
      </w:r>
      <w:r>
        <w:t xml:space="preserve">.</w:t>
      </w:r>
    </w:p>
    <w:p>
      <w:pPr>
        <w:pStyle w:val="FirstParagraph"/>
      </w:pPr>
      <w:r>
        <w:rPr>
          <w:i/>
          <w:iCs/>
        </w:rPr>
        <w:t xml:space="preserve">(Placeholder — insert 2–4 EEGC student comments from course feedback, with screenshots and short English captions where the original is in Chinese.)</w:t>
      </w:r>
    </w:p>
    <w:bookmarkEnd w:id="9"/>
    <w:bookmarkStart w:id="10" w:name="what-students-gained"/>
    <w:p>
      <w:pPr>
        <w:pStyle w:val="Heading2"/>
      </w:pPr>
      <w:r>
        <w:t xml:space="preserve">2. What students gained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safe rehearsal space</w:t>
      </w:r>
      <w:r>
        <w:t xml:space="preserve">: short, measured turns, explicit pause invitations, and the absence of grading lowered speaking anxiety by the second rehearsal round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Learner agency</w:t>
      </w:r>
      <w:r>
        <w:t xml:space="preserve">: students direct their own AI coach — what to practise, in what order, at what pace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Confidence in word choice and creative expression</w:t>
      </w:r>
      <w:r>
        <w:t xml:space="preserve">: reported by poetry-lab participants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Feedback at scale</w:t>
      </w:r>
      <w:r>
        <w:t xml:space="preserve">: every student in a 37-section course could receive an individual, rubric-referenced report on their own essay</w:t>
      </w:r>
    </w:p>
    <w:bookmarkEnd w:id="10"/>
    <w:bookmarkStart w:id="11" w:name="Xc7cd7875beb14791b8b04b43ded20cc057b1ad8"/>
    <w:p>
      <w:pPr>
        <w:pStyle w:val="Heading2"/>
      </w:pPr>
      <w:r>
        <w:t xml:space="preserve">3. Impact beyond the classroom — Wang Fuk Court fire report</w:t>
      </w:r>
    </w:p>
    <w:p>
      <w:pPr>
        <w:pStyle w:val="FirstParagraph"/>
      </w:pPr>
      <w:r>
        <w:t xml:space="preserve">The same vibe-coding approach produced a bilingual public-interest site reorganising the Independent Committee’s fire-inquiry materials for journalists and the public (https://wangfukcourtfirereport.simonsays.hk/):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243 official documents</w:t>
      </w:r>
      <w:r>
        <w:t xml:space="preserve"> </w:t>
      </w:r>
      <w:r>
        <w:t xml:space="preserve">crawled and audited (0 missed) —</w:t>
      </w:r>
      <w:r>
        <w:t xml:space="preserve"> </w:t>
      </w:r>
      <w:r>
        <w:rPr>
          <w:b/>
          <w:bCs/>
        </w:rPr>
        <w:t xml:space="preserve">6,377 pages, ~1.9 million words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8,785 embedded images</w:t>
      </w:r>
      <w:r>
        <w:t xml:space="preserve"> </w:t>
      </w:r>
      <w:r>
        <w:t xml:space="preserve">extracted with page numbers;</w:t>
      </w:r>
      <w:r>
        <w:t xml:space="preserve"> </w:t>
      </w:r>
      <w:r>
        <w:rPr>
          <w:b/>
          <w:bCs/>
        </w:rPr>
        <w:t xml:space="preserve">347 scanned pages (46 documents)</w:t>
      </w:r>
      <w:r>
        <w:t xml:space="preserve"> </w:t>
      </w:r>
      <w:r>
        <w:t xml:space="preserve">OCR’d</w:t>
      </w:r>
    </w:p>
    <w:p>
      <w:pPr>
        <w:pStyle w:val="Compact"/>
        <w:numPr>
          <w:ilvl w:val="0"/>
          <w:numId w:val="1002"/>
        </w:numPr>
      </w:pPr>
      <w:r>
        <w:t xml:space="preserve">Every document read and tagged by LLMs against the Committee’s</w:t>
      </w:r>
      <w:r>
        <w:t xml:space="preserve"> </w:t>
      </w:r>
      <w:r>
        <w:rPr>
          <w:b/>
          <w:bCs/>
        </w:rPr>
        <w:t xml:space="preserve">seven Terms of Reference</w:t>
      </w:r>
      <w:r>
        <w:t xml:space="preserve"> </w:t>
      </w:r>
      <w:r>
        <w:t xml:space="preserve">(semantic tagging, not keyword matching — 99 documents relate to ToR5 vs 11 under a summary-level first pass)</w:t>
      </w:r>
    </w:p>
    <w:p>
      <w:pPr>
        <w:pStyle w:val="Compact"/>
        <w:numPr>
          <w:ilvl w:val="0"/>
          <w:numId w:val="1002"/>
        </w:numPr>
      </w:pPr>
      <w:r>
        <w:t xml:space="preserve">Full-text search across all 1.9 million words; per-ToR narrative perspectives; bilingual (EN + </w:t>
      </w:r>
      <w:r>
        <w:rPr>
          <w:rFonts w:hint="eastAsia"/>
        </w:rPr>
        <w:t xml:space="preserve">繁體中文)</w:t>
      </w:r>
    </w:p>
    <w:p>
      <w:pPr>
        <w:pStyle w:val="Compact"/>
        <w:numPr>
          <w:ilvl w:val="0"/>
          <w:numId w:val="1002"/>
        </w:numPr>
      </w:pPr>
      <w:r>
        <w:t xml:space="preserve">Analysis published in the</w:t>
      </w:r>
      <w:r>
        <w:t xml:space="preserve"> </w:t>
      </w:r>
      <w:r>
        <w:rPr>
          <w:i/>
          <w:iCs/>
        </w:rPr>
        <w:t xml:space="preserve">South China Morning Post</w:t>
      </w:r>
      <w:r>
        <w:t xml:space="preserve"> </w:t>
      </w:r>
      <w:r>
        <w:t xml:space="preserve">(19 Aug 2026); open source at https://github.com/tesolchina/wangfukcourtfirereport</w:t>
      </w:r>
    </w:p>
    <w:p>
      <w:pPr>
        <w:pStyle w:val="FirstParagraph"/>
      </w:pPr>
      <w:r>
        <w:t xml:space="preserve">The point: the method students see modelled in class — a teacher building AI tools to serve a real need — is the same method that produced a public-interest knowledge service. This is what</w:t>
      </w:r>
      <w:r>
        <w:t xml:space="preserve"> </w:t>
      </w:r>
      <w:r>
        <w:t xml:space="preserve">“any teacher can join the developer camp”</w:t>
      </w:r>
      <w:r>
        <w:t xml:space="preserve"> </w:t>
      </w:r>
      <w:r>
        <w:t xml:space="preserve">looks like in practice.</w:t>
      </w:r>
    </w:p>
    <w:bookmarkEnd w:id="11"/>
    <w:bookmarkStart w:id="12" w:name="judges-criteria-where-this-entry-lands"/>
    <w:p>
      <w:pPr>
        <w:pStyle w:val="Heading2"/>
      </w:pPr>
      <w:r>
        <w:t xml:space="preserve">4. Judges’ criteria — where this entry lands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Creative solution to a common challenge</w:t>
      </w:r>
      <w:r>
        <w:t xml:space="preserve">: the feedback/rehearsal bottleneck every large language course faces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Innovation that improved performance and broadened impact</w:t>
      </w:r>
      <w:r>
        <w:t xml:space="preserve">: four deployed strands, four publications, a public-interest service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Scalable and transferable</w:t>
      </w:r>
      <w:r>
        <w:t xml:space="preserve">: any teacher can join the developer camp; components are reusable across courses and disciplines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Human-centred story</w:t>
      </w:r>
      <w:r>
        <w:t xml:space="preserve">: a teacher who stopped waiting for suitable tools — and students who found their voice in a safe rehearsal space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Supporting Material 2 — Student Testimonies &amp; Impact</dc:title>
  <dc:creator/>
  <cp:keywords/>
  <dcterms:created xsi:type="dcterms:W3CDTF">2026-10-06T23:51:01Z</dcterms:created>
  <dcterms:modified xsi:type="dcterms:W3CDTF">2026-10-06T23:51:01Z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