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9.png" ContentType="image/png"/>
  <Override PartName="/word/media/rId55.png" ContentType="image/png"/>
  <Override PartName="/word/media/rId46.png" ContentType="image/png"/>
  <Override PartName="/word/media/rId65.png" ContentType="image/png"/>
  <Override PartName="/word/media/rId36.png" ContentType="image/png"/>
  <Override PartName="/word/media/rId59.png" ContentType="image/png"/>
  <Override PartName="/word/media/rId25.png" ContentType="image/png"/>
  <Override PartName="/word/media/rId62.png" ContentType="image/png"/>
  <Override PartName="/word/media/rId3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Hot Hẻm: Sài Gòn Giữa Cái Nóng Hổng Công Bằng</w:t>
      </w:r>
    </w:p>
    <w:p>
      <w:pPr>
        <w:pStyle w:val="Subtitle"/>
      </w:pPr>
      <w:r>
        <w:t xml:space="preserve">Optimization for Suffering: The Hottest Route Available</w:t>
      </w:r>
    </w:p>
    <w:p>
      <w:pPr>
        <w:pStyle w:val="Author"/>
      </w:pPr>
      <w:r>
        <w:t xml:space="preserve">Tess Vu</w:t>
      </w:r>
    </w:p>
    <w:p>
      <w:pPr>
        <w:pStyle w:val="Date"/>
      </w:pPr>
      <w:r>
        <w:t xml:space="preserve">2025-12-07</w:t>
      </w:r>
    </w:p>
    <w:bookmarkStart w:id="20" w:name="abstract"/>
    <w:p>
      <w:pPr>
        <w:pStyle w:val="Heading1"/>
      </w:pPr>
      <w:r>
        <w:t xml:space="preserve">Abstract</w:t>
      </w:r>
    </w:p>
    <w:p>
      <w:pPr>
        <w:pStyle w:val="FirstParagraph"/>
      </w:pPr>
      <w:r>
        <w:t xml:space="preserve">Hot Hẻm is a GeoAI workflow that estimates and operationalizes pedestrian heat exposure in Hồ Chí Minh City (HCMC), Việt Nam, colloquially known as Sài Gòn. This spatial data science pipeline combines Google Street View (GSV) imagery, semantic image segmentation, and remote sensing. Two XGBoost models are trained to predict land surface temperature (LST) using a GSV training dataset in selected administrative wards, known as phường, and are deployed in a patchwork manner across all OSMnx-derived pedestrian network nodes to enable heat-aware routing. This is a model that, when deployed, can provide a foundation for</w:t>
      </w:r>
      <w:r>
        <w:t xml:space="preserve"> </w:t>
      </w:r>
      <w:r>
        <w:rPr>
          <w:i/>
          <w:iCs/>
        </w:rPr>
        <w:t xml:space="preserve">pinpointing where</w:t>
      </w:r>
      <w:r>
        <w:t xml:space="preserve"> </w:t>
      </w:r>
      <w:r>
        <w:t xml:space="preserve">and further</w:t>
      </w:r>
      <w:r>
        <w:t xml:space="preserve"> </w:t>
      </w:r>
      <w:r>
        <w:rPr>
          <w:i/>
          <w:iCs/>
        </w:rPr>
        <w:t xml:space="preserve">understanding why</w:t>
      </w:r>
      <w:r>
        <w:t xml:space="preserve"> </w:t>
      </w:r>
      <w:r>
        <w:t xml:space="preserve">certain city corridors may experience disproportionately higher temperatures at an infrastructural scale.</w:t>
      </w:r>
    </w:p>
    <w:bookmarkEnd w:id="20"/>
    <w:bookmarkStart w:id="21" w:name="i.-introduction"/>
    <w:p>
      <w:pPr>
        <w:pStyle w:val="Heading1"/>
      </w:pPr>
      <w:r>
        <w:t xml:space="preserve">I. Introduction</w:t>
      </w:r>
    </w:p>
    <w:p>
      <w:pPr>
        <w:pStyle w:val="FirstParagraph"/>
      </w:pPr>
      <w:r>
        <w:t xml:space="preserve">Given that urban heat and other environmental injustices are widely recognized as being disproportionately felt, dangerous heat exposure will only continue to exacerbate with growing populations and current pollution trajectories. Extreme heat is heterogeneous and driven by both macro-scale morphologies (e.g. elevation, land cover, surface emissivity) and micro-scale streetscapes (e.g. building canyon effects, tree canopy, visible sky), many of which are influenced by local municipalities’ regulations on the built environment and social structures.</w:t>
      </w:r>
    </w:p>
    <w:p>
      <w:pPr>
        <w:pStyle w:val="BodyText"/>
      </w:pPr>
      <w:r>
        <w:t xml:space="preserve">Conventional thermal mapping often emphasizes satellite-derived patterns that could underrepresent pedestrian-scale experiences, and some existing literature notes shaded routes can significantly improve pedestrian comfort. However, there is lacking emphasis that the onus falls on local municipalities to provide resilient, cool, and green infrastructure—this is a byproduct communicated by shade-finding algorithms that present coolest routes. Regardless of intention, they present as alternatives rather than tools to assist with building solutions, implying health, wellbeing, and heat-stress mitigation is a choice among locals, and not a prevailing systemic and infrastructural issue that will worsen with global warming.</w:t>
      </w:r>
    </w:p>
    <w:p>
      <w:pPr>
        <w:pStyle w:val="BodyText"/>
      </w:pPr>
      <w:r>
        <w:t xml:space="preserve">This project aims to fill these gaps by firstly, fusing street-level visual morphology with thermal and structural remote-sensing predictors, and secondly, by seeking the hottest routes as a government tool. This is where machine learning (ML) optimization can recommend routes</w:t>
      </w:r>
      <w:r>
        <w:t xml:space="preserve"> </w:t>
      </w:r>
      <w:r>
        <w:rPr>
          <w:i/>
          <w:iCs/>
        </w:rPr>
        <w:t xml:space="preserve">minimizing shade</w:t>
      </w:r>
      <w:r>
        <w:t xml:space="preserve"> </w:t>
      </w:r>
      <w:r>
        <w:t xml:space="preserve">and</w:t>
      </w:r>
      <w:r>
        <w:t xml:space="preserve"> </w:t>
      </w:r>
      <w:r>
        <w:rPr>
          <w:i/>
          <w:iCs/>
        </w:rPr>
        <w:t xml:space="preserve">maximizing sun exposure</w:t>
      </w:r>
      <w:r>
        <w:t xml:space="preserve">, revealing the hottest paths as potential candidates for shaded infrastructure, future tree canopies, or further investigation, demonstrating how ML can help enhance urban resilience to extreme heat.</w:t>
      </w:r>
    </w:p>
    <w:bookmarkEnd w:id="21"/>
    <w:bookmarkStart w:id="31" w:name="ii.-data-and-study-area"/>
    <w:p>
      <w:pPr>
        <w:pStyle w:val="Heading1"/>
      </w:pPr>
      <w:r>
        <w:t xml:space="preserve">II. Data and Study Area</w:t>
      </w:r>
    </w:p>
    <w:bookmarkStart w:id="28" w:name="pedestrian-network-and-wards"/>
    <w:p>
      <w:pPr>
        <w:pStyle w:val="Heading2"/>
      </w:pPr>
      <w:r>
        <w:t xml:space="preserve">Pedestrian Network and Wards</w:t>
      </w:r>
    </w:p>
    <w:p>
      <w:pPr>
        <w:pStyle w:val="FirstParagraph"/>
      </w:pPr>
      <w:r>
        <w:t xml:space="preserve">A pedestrian network graph with a 500-meter buffer was extracted from Python’s</w:t>
      </w:r>
      <w:r>
        <w:t xml:space="preserve"> </w:t>
      </w:r>
      <w:r>
        <w:rPr>
          <w:rStyle w:val="VerbatimChar"/>
        </w:rPr>
        <w:t xml:space="preserve">osmnx</w:t>
      </w:r>
      <w:r>
        <w:t xml:space="preserve"> </w:t>
      </w:r>
      <w:r>
        <w:t xml:space="preserve">library, yielding 28,445 nodes and 74,710 edges for three administrative districts: District 1, District 2, and District 8. Due to API costs and keeping in mind computational efficiency, only six wards were selected as disparate GSV candidates, two from each district of interest: Bến Thành (2,424 nodes) and Co Giang (1,840 nodes) in District 1, An Khanh (1,119 nodes) and Thảo Điền (1,547) in District 2, and Phường 5 (2,346 nodes) and Phường 6 (2,013 nodes) from District 8.</w:t>
      </w:r>
    </w:p>
    <w:p>
      <w:pPr>
        <w:pStyle w:val="CaptionedFigure"/>
      </w:pPr>
      <w:r>
        <w:drawing>
          <wp:inline>
            <wp:extent cx="5334000" cy="3516448"/>
            <wp:effectExtent b="0" l="0" r="0" t="0"/>
            <wp:docPr descr="Study Area" title="" id="23" name="Picture"/>
            <a:graphic>
              <a:graphicData uri="http://schemas.openxmlformats.org/drawingml/2006/picture">
                <pic:pic>
                  <pic:nvPicPr>
                    <pic:cNvPr descr="images/study_area.png" id="24" name="Picture"/>
                    <pic:cNvPicPr>
                      <a:picLocks noChangeArrowheads="1" noChangeAspect="1"/>
                    </pic:cNvPicPr>
                  </pic:nvPicPr>
                  <pic:blipFill>
                    <a:blip r:embed="rId22"/>
                    <a:stretch>
                      <a:fillRect/>
                    </a:stretch>
                  </pic:blipFill>
                  <pic:spPr bwMode="auto">
                    <a:xfrm>
                      <a:off x="0" y="0"/>
                      <a:ext cx="5334000" cy="3516448"/>
                    </a:xfrm>
                    <a:prstGeom prst="rect">
                      <a:avLst/>
                    </a:prstGeom>
                    <a:noFill/>
                    <a:ln w="9525">
                      <a:noFill/>
                      <a:headEnd/>
                      <a:tailEnd/>
                    </a:ln>
                  </pic:spPr>
                </pic:pic>
              </a:graphicData>
            </a:graphic>
          </wp:inline>
        </w:drawing>
      </w:r>
    </w:p>
    <w:p>
      <w:pPr>
        <w:pStyle w:val="ImageCaption"/>
      </w:pPr>
      <w:r>
        <w:t xml:space="preserve">Study Area</w:t>
      </w:r>
    </w:p>
    <w:p>
      <w:pPr>
        <w:pStyle w:val="CaptionedFigure"/>
      </w:pPr>
      <w:r>
        <w:drawing>
          <wp:inline>
            <wp:extent cx="5334000" cy="3500017"/>
            <wp:effectExtent b="0" l="0" r="0" t="0"/>
            <wp:docPr descr="Network Area" title="" id="26" name="Picture"/>
            <a:graphic>
              <a:graphicData uri="http://schemas.openxmlformats.org/drawingml/2006/picture">
                <pic:pic>
                  <pic:nvPicPr>
                    <pic:cNvPr descr="images/network_area.png" id="27" name="Picture"/>
                    <pic:cNvPicPr>
                      <a:picLocks noChangeArrowheads="1" noChangeAspect="1"/>
                    </pic:cNvPicPr>
                  </pic:nvPicPr>
                  <pic:blipFill>
                    <a:blip r:embed="rId25"/>
                    <a:stretch>
                      <a:fillRect/>
                    </a:stretch>
                  </pic:blipFill>
                  <pic:spPr bwMode="auto">
                    <a:xfrm>
                      <a:off x="0" y="0"/>
                      <a:ext cx="5334000" cy="3500017"/>
                    </a:xfrm>
                    <a:prstGeom prst="rect">
                      <a:avLst/>
                    </a:prstGeom>
                    <a:noFill/>
                    <a:ln w="9525">
                      <a:noFill/>
                      <a:headEnd/>
                      <a:tailEnd/>
                    </a:ln>
                  </pic:spPr>
                </pic:pic>
              </a:graphicData>
            </a:graphic>
          </wp:inline>
        </w:drawing>
      </w:r>
    </w:p>
    <w:p>
      <w:pPr>
        <w:pStyle w:val="ImageCaption"/>
      </w:pPr>
      <w:r>
        <w:t xml:space="preserve">Network Area</w:t>
      </w:r>
    </w:p>
    <w:bookmarkEnd w:id="28"/>
    <w:bookmarkStart w:id="29" w:name="street-level-imagery"/>
    <w:p>
      <w:pPr>
        <w:pStyle w:val="Heading2"/>
      </w:pPr>
      <w:r>
        <w:t xml:space="preserve">Street-Level Imagery</w:t>
      </w:r>
    </w:p>
    <w:p>
      <w:pPr>
        <w:pStyle w:val="FirstParagraph"/>
      </w:pPr>
      <w:r>
        <w:t xml:space="preserve">GSV samples generated 23,806 points from 500-meter buffered wards of interest at 50-meter intervals. Metadata contained 20,457 images, an unfortunate 14.07% decrease due to interruptions, but nonetheless providing sufficient density for training streetscape indeces and validating segmentation outputs within wards of interest.</w:t>
      </w:r>
    </w:p>
    <w:bookmarkEnd w:id="29"/>
    <w:bookmarkStart w:id="30" w:name="remote-sensing-rasters"/>
    <w:p>
      <w:pPr>
        <w:pStyle w:val="Heading2"/>
      </w:pPr>
      <w:r>
        <w:t xml:space="preserve">Remote Sensing Rasters</w:t>
      </w:r>
    </w:p>
    <w:p>
      <w:pPr>
        <w:pStyle w:val="FirstParagraph"/>
      </w:pPr>
      <w:r>
        <w:t xml:space="preserve">The satellite data was extracted from several different sources:</w:t>
      </w:r>
    </w:p>
    <w:p>
      <w:pPr>
        <w:pStyle w:val="BodyText"/>
      </w:pPr>
      <w:r>
        <w:rPr>
          <w:b/>
          <w:bCs/>
        </w:rPr>
        <w:t xml:space="preserve">Landsat 8 / 9 (30m resolution, dry months December thru April, 2023–2025)</w:t>
      </w:r>
    </w:p>
    <w:p>
      <w:pPr>
        <w:numPr>
          <w:ilvl w:val="0"/>
          <w:numId w:val="1001"/>
        </w:numPr>
      </w:pPr>
      <w:r>
        <w:t xml:space="preserve">LST ST_B10 Band</w:t>
      </w:r>
    </w:p>
    <w:p>
      <w:pPr>
        <w:numPr>
          <w:ilvl w:val="0"/>
          <w:numId w:val="1001"/>
        </w:numPr>
      </w:pPr>
      <w:r>
        <w:t xml:space="preserve">Emissivity ST_EMIS Band</w:t>
      </w:r>
    </w:p>
    <w:p>
      <w:pPr>
        <w:numPr>
          <w:ilvl w:val="0"/>
          <w:numId w:val="1001"/>
        </w:numPr>
      </w:pPr>
      <w:r>
        <w:t xml:space="preserve">Red SR_B4 Band</w:t>
      </w:r>
    </w:p>
    <w:p>
      <w:pPr>
        <w:numPr>
          <w:ilvl w:val="0"/>
          <w:numId w:val="1001"/>
        </w:numPr>
      </w:pPr>
      <w:r>
        <w:t xml:space="preserve">Near Infrared (NIR) SR_B5 Band</w:t>
      </w:r>
    </w:p>
    <w:p>
      <w:pPr>
        <w:numPr>
          <w:ilvl w:val="0"/>
          <w:numId w:val="1001"/>
        </w:numPr>
      </w:pPr>
      <w:r>
        <w:t xml:space="preserve">QA_PIXEL Band</w:t>
      </w:r>
    </w:p>
    <w:p>
      <w:pPr>
        <w:pStyle w:val="FirstParagraph"/>
      </w:pPr>
      <w:r>
        <w:rPr>
          <w:b/>
          <w:bCs/>
        </w:rPr>
        <w:t xml:space="preserve">JAXA LULC (10m resolution, 2025)</w:t>
      </w:r>
    </w:p>
    <w:p>
      <w:pPr>
        <w:pStyle w:val="Compact"/>
        <w:numPr>
          <w:ilvl w:val="0"/>
          <w:numId w:val="1002"/>
        </w:numPr>
      </w:pPr>
      <w:r>
        <w:t xml:space="preserve">Land Cover</w:t>
      </w:r>
    </w:p>
    <w:p>
      <w:pPr>
        <w:pStyle w:val="FirstParagraph"/>
      </w:pPr>
      <w:r>
        <w:rPr>
          <w:b/>
          <w:bCs/>
        </w:rPr>
        <w:t xml:space="preserve">JAXA PALSAR-2 (ScanSAR, 50m resolution, 2025)</w:t>
      </w:r>
    </w:p>
    <w:p>
      <w:pPr>
        <w:numPr>
          <w:ilvl w:val="0"/>
          <w:numId w:val="1003"/>
        </w:numPr>
      </w:pPr>
      <w:r>
        <w:t xml:space="preserve">HH Polarization</w:t>
      </w:r>
    </w:p>
    <w:p>
      <w:pPr>
        <w:numPr>
          <w:ilvl w:val="0"/>
          <w:numId w:val="1003"/>
        </w:numPr>
      </w:pPr>
      <w:r>
        <w:t xml:space="preserve">HV Polarization</w:t>
      </w:r>
    </w:p>
    <w:p>
      <w:pPr>
        <w:numPr>
          <w:ilvl w:val="0"/>
          <w:numId w:val="1003"/>
        </w:numPr>
      </w:pPr>
      <w:r>
        <w:t xml:space="preserve">Observation Date / Time</w:t>
      </w:r>
    </w:p>
    <w:p>
      <w:pPr>
        <w:numPr>
          <w:ilvl w:val="0"/>
          <w:numId w:val="1003"/>
        </w:numPr>
      </w:pPr>
      <w:r>
        <w:t xml:space="preserve">Local Incidence Angle</w:t>
      </w:r>
    </w:p>
    <w:p>
      <w:pPr>
        <w:numPr>
          <w:ilvl w:val="0"/>
          <w:numId w:val="1003"/>
        </w:numPr>
      </w:pPr>
      <w:r>
        <w:t xml:space="preserve">Mask / Flag</w:t>
      </w:r>
    </w:p>
    <w:p>
      <w:pPr>
        <w:pStyle w:val="FirstParagraph"/>
      </w:pPr>
      <w:r>
        <w:rPr>
          <w:b/>
          <w:bCs/>
        </w:rPr>
        <w:t xml:space="preserve">ALSO World 2D DSM (30m resolution, 2025)</w:t>
      </w:r>
    </w:p>
    <w:p>
      <w:pPr>
        <w:numPr>
          <w:ilvl w:val="0"/>
          <w:numId w:val="1004"/>
        </w:numPr>
      </w:pPr>
      <w:r>
        <w:t xml:space="preserve">Elevation</w:t>
      </w:r>
    </w:p>
    <w:p>
      <w:pPr>
        <w:numPr>
          <w:ilvl w:val="0"/>
          <w:numId w:val="1004"/>
        </w:numPr>
      </w:pPr>
      <w:r>
        <w:t xml:space="preserve">Mask</w:t>
      </w:r>
    </w:p>
    <w:p>
      <w:pPr>
        <w:numPr>
          <w:ilvl w:val="0"/>
          <w:numId w:val="1004"/>
        </w:numPr>
      </w:pPr>
      <w:r>
        <w:t xml:space="preserve">Stacking Number</w:t>
      </w:r>
    </w:p>
    <w:bookmarkEnd w:id="30"/>
    <w:bookmarkEnd w:id="31"/>
    <w:bookmarkStart w:id="43" w:name="iii.-methodologies"/>
    <w:p>
      <w:pPr>
        <w:pStyle w:val="Heading1"/>
      </w:pPr>
      <w:r>
        <w:t xml:space="preserve">III. Methodologies</w:t>
      </w:r>
    </w:p>
    <w:p>
      <w:pPr>
        <w:pStyle w:val="FirstParagraph"/>
      </w:pPr>
      <w:r>
        <w:t xml:space="preserve">In the interest of computational efficiency, all notebooks and scripting were offloaded from local into cloud computing using Google’s Colab. Combining only Landsat rasters into a composite was completed in ArcGIS v3.4.</w:t>
      </w:r>
    </w:p>
    <w:bookmarkStart w:id="35" w:name="X532c8578b230593d147f5f6ab71a65cfc24ea39"/>
    <w:p>
      <w:pPr>
        <w:pStyle w:val="Heading2"/>
      </w:pPr>
      <w:r>
        <w:t xml:space="preserve">Image Segmentation and Superclass Mapping</w:t>
      </w:r>
    </w:p>
    <w:p>
      <w:pPr>
        <w:pStyle w:val="FirstParagraph"/>
      </w:pPr>
      <w:r>
        <w:t xml:space="preserve">GSV images were processed using a model trained on Southeast Asian cities, Mask2Former Mapillary Vistas (</w:t>
      </w:r>
      <w:r>
        <w:rPr>
          <w:rStyle w:val="VerbatimChar"/>
        </w:rPr>
        <w:t xml:space="preserve">facebook/mask2former-swin-large-mapillary-vistas-semantic</w:t>
      </w:r>
      <w:r>
        <w:t xml:space="preserve">), accessed via Hugging Face with an API token. It contains 66 object categories for semantic segmentation primed for street-level scene analysis for complex urban cities like Sài Gòn.</w:t>
      </w:r>
    </w:p>
    <w:p>
      <w:pPr>
        <w:pStyle w:val="BodyText"/>
      </w:pPr>
      <w:r>
        <w:t xml:space="preserve">GSV images were 640 x 640 pixel resolution, ideally, panoramic images would have been preferable, but due to cost restraints, the static imagery was made to dynamically alter the header to be front-facing.</w:t>
      </w:r>
    </w:p>
    <w:p>
      <w:pPr>
        <w:pStyle w:val="BodyText"/>
      </w:pPr>
      <w:r>
        <w:t xml:space="preserve">To improve interpretability and stability for index construction, raw segmentation classes were remapped into seven superclasses:</w:t>
      </w:r>
    </w:p>
    <w:p>
      <w:pPr>
        <w:pStyle w:val="TableCaption"/>
      </w:pPr>
      <w:r>
        <w:t xml:space="preserve">Superclass Mappings</w:t>
      </w:r>
    </w:p>
    <w:tbl>
      <w:tblPr>
        <w:tblStyle w:val="Table"/>
        <w:tblW w:type="auto" w:w="0"/>
        <w:tblLook w:firstRow="1" w:lastRow="0" w:firstColumn="0" w:lastColumn="0" w:noHBand="0" w:noVBand="0" w:val="0020"/>
        <w:tblCaption w:val="Superclass Mappings"/>
      </w:tblPr>
      <w:tblGrid>
        <w:gridCol w:w="3960"/>
        <w:gridCol w:w="3960"/>
      </w:tblGrid>
      <w:tr>
        <w:trPr>
          <w:tblHeader w:val="on"/>
        </w:trPr>
        <w:tc>
          <w:tcPr/>
          <w:p>
            <w:pPr>
              <w:pStyle w:val="Compact"/>
            </w:pPr>
            <w:r>
              <w:t xml:space="preserve">Mapping</w:t>
            </w:r>
          </w:p>
        </w:tc>
        <w:tc>
          <w:tcPr/>
          <w:p>
            <w:pPr>
              <w:pStyle w:val="Compact"/>
            </w:pPr>
            <w:r>
              <w:t xml:space="preserve">Superclass</w:t>
            </w:r>
          </w:p>
        </w:tc>
      </w:tr>
      <w:tr>
        <w:tc>
          <w:tcPr/>
          <w:p>
            <w:pPr>
              <w:pStyle w:val="Compact"/>
            </w:pPr>
            <w:r>
              <w:t xml:space="preserve">0</w:t>
            </w:r>
          </w:p>
        </w:tc>
        <w:tc>
          <w:tcPr/>
          <w:p>
            <w:pPr>
              <w:pStyle w:val="Compact"/>
            </w:pPr>
            <w:r>
              <w:t xml:space="preserve">Other</w:t>
            </w:r>
          </w:p>
        </w:tc>
      </w:tr>
      <w:tr>
        <w:tc>
          <w:tcPr/>
          <w:p>
            <w:pPr>
              <w:pStyle w:val="Compact"/>
            </w:pPr>
            <w:r>
              <w:t xml:space="preserve">1</w:t>
            </w:r>
          </w:p>
        </w:tc>
        <w:tc>
          <w:tcPr/>
          <w:p>
            <w:pPr>
              <w:pStyle w:val="Compact"/>
            </w:pPr>
            <w:r>
              <w:t xml:space="preserve">Vegetation</w:t>
            </w:r>
          </w:p>
        </w:tc>
      </w:tr>
      <w:tr>
        <w:tc>
          <w:tcPr/>
          <w:p>
            <w:pPr>
              <w:pStyle w:val="Compact"/>
            </w:pPr>
            <w:r>
              <w:t xml:space="preserve">2</w:t>
            </w:r>
          </w:p>
        </w:tc>
        <w:tc>
          <w:tcPr/>
          <w:p>
            <w:pPr>
              <w:pStyle w:val="Compact"/>
            </w:pPr>
            <w:r>
              <w:t xml:space="preserve">Sky</w:t>
            </w:r>
          </w:p>
        </w:tc>
      </w:tr>
      <w:tr>
        <w:tc>
          <w:tcPr/>
          <w:p>
            <w:pPr>
              <w:pStyle w:val="Compact"/>
            </w:pPr>
            <w:r>
              <w:t xml:space="preserve">3</w:t>
            </w:r>
          </w:p>
        </w:tc>
        <w:tc>
          <w:tcPr/>
          <w:p>
            <w:pPr>
              <w:pStyle w:val="Compact"/>
            </w:pPr>
            <w:r>
              <w:t xml:space="preserve">Building</w:t>
            </w:r>
          </w:p>
        </w:tc>
      </w:tr>
      <w:tr>
        <w:tc>
          <w:tcPr/>
          <w:p>
            <w:pPr>
              <w:pStyle w:val="Compact"/>
            </w:pPr>
            <w:r>
              <w:t xml:space="preserve">4</w:t>
            </w:r>
          </w:p>
        </w:tc>
        <w:tc>
          <w:tcPr/>
          <w:p>
            <w:pPr>
              <w:pStyle w:val="Compact"/>
            </w:pPr>
            <w:r>
              <w:t xml:space="preserve">Pavement / Road</w:t>
            </w:r>
          </w:p>
        </w:tc>
      </w:tr>
      <w:tr>
        <w:tc>
          <w:tcPr/>
          <w:p>
            <w:pPr>
              <w:pStyle w:val="Compact"/>
            </w:pPr>
            <w:r>
              <w:t xml:space="preserve">5</w:t>
            </w:r>
          </w:p>
        </w:tc>
        <w:tc>
          <w:tcPr/>
          <w:p>
            <w:pPr>
              <w:pStyle w:val="Compact"/>
            </w:pPr>
            <w:r>
              <w:t xml:space="preserve">Water</w:t>
            </w:r>
          </w:p>
        </w:tc>
      </w:tr>
      <w:tr>
        <w:tc>
          <w:tcPr/>
          <w:p>
            <w:pPr>
              <w:pStyle w:val="Compact"/>
            </w:pPr>
            <w:r>
              <w:t xml:space="preserve">6</w:t>
            </w:r>
          </w:p>
        </w:tc>
        <w:tc>
          <w:tcPr/>
          <w:p>
            <w:pPr>
              <w:pStyle w:val="Compact"/>
            </w:pPr>
            <w:r>
              <w:t xml:space="preserve">Vehicle / Street Clutter</w:t>
            </w:r>
          </w:p>
        </w:tc>
      </w:tr>
    </w:tbl>
    <w:p>
      <w:pPr>
        <w:pStyle w:val="CaptionedFigure"/>
      </w:pPr>
      <w:r>
        <w:drawing>
          <wp:inline>
            <wp:extent cx="5334000" cy="1833937"/>
            <wp:effectExtent b="0" l="0" r="0" t="0"/>
            <wp:docPr descr="Segmentation Process" title="" id="33" name="Picture"/>
            <a:graphic>
              <a:graphicData uri="http://schemas.openxmlformats.org/drawingml/2006/picture">
                <pic:pic>
                  <pic:nvPicPr>
                    <pic:cNvPr descr="images/segmentation.png" id="34" name="Picture"/>
                    <pic:cNvPicPr>
                      <a:picLocks noChangeArrowheads="1" noChangeAspect="1"/>
                    </pic:cNvPicPr>
                  </pic:nvPicPr>
                  <pic:blipFill>
                    <a:blip r:embed="rId32"/>
                    <a:stretch>
                      <a:fillRect/>
                    </a:stretch>
                  </pic:blipFill>
                  <pic:spPr bwMode="auto">
                    <a:xfrm>
                      <a:off x="0" y="0"/>
                      <a:ext cx="5334000" cy="1833937"/>
                    </a:xfrm>
                    <a:prstGeom prst="rect">
                      <a:avLst/>
                    </a:prstGeom>
                    <a:noFill/>
                    <a:ln w="9525">
                      <a:noFill/>
                      <a:headEnd/>
                      <a:tailEnd/>
                    </a:ln>
                  </pic:spPr>
                </pic:pic>
              </a:graphicData>
            </a:graphic>
          </wp:inline>
        </w:drawing>
      </w:r>
    </w:p>
    <w:p>
      <w:pPr>
        <w:pStyle w:val="ImageCaption"/>
      </w:pPr>
      <w:r>
        <w:t xml:space="preserve">Segmentation Process</w:t>
      </w:r>
    </w:p>
    <w:bookmarkEnd w:id="35"/>
    <w:bookmarkStart w:id="39" w:name="engineering-indeces"/>
    <w:p>
      <w:pPr>
        <w:pStyle w:val="Heading2"/>
      </w:pPr>
      <w:r>
        <w:t xml:space="preserve">Engineering Indeces</w:t>
      </w:r>
    </w:p>
    <w:p>
      <w:pPr>
        <w:pStyle w:val="FirstParagraph"/>
      </w:pPr>
      <w:r>
        <w:t xml:space="preserve">The final merged superclass imagery was used to create predictive features:</w:t>
      </w:r>
    </w:p>
    <w:p>
      <w:pPr>
        <w:pStyle w:val="BodyText"/>
      </w:pPr>
      <w:r>
        <w:rPr>
          <w:b/>
          <w:bCs/>
        </w:rPr>
        <w:t xml:space="preserve">Green View Index (GVI):</w:t>
      </w:r>
      <w:r>
        <w:t xml:space="preserve"> </w:t>
      </w:r>
      <w:r>
        <w:t xml:space="preserve">Proportion of vegetation.</w:t>
      </w:r>
    </w:p>
    <w:p>
      <w:pPr>
        <w:pStyle w:val="BodyText"/>
      </w:pPr>
      <w:r>
        <w:rPr>
          <w:b/>
          <w:bCs/>
        </w:rPr>
        <w:t xml:space="preserve">Sky View Index (SVI):</w:t>
      </w:r>
      <w:r>
        <w:t xml:space="preserve"> </w:t>
      </w:r>
      <w:r>
        <w:t xml:space="preserve">Proportion of sky.</w:t>
      </w:r>
    </w:p>
    <w:p>
      <w:pPr>
        <w:pStyle w:val="BodyText"/>
      </w:pPr>
      <w:r>
        <w:rPr>
          <w:b/>
          <w:bCs/>
        </w:rPr>
        <w:t xml:space="preserve">Building View Index (BVI):</w:t>
      </w:r>
      <w:r>
        <w:t xml:space="preserve"> </w:t>
      </w:r>
      <w:r>
        <w:t xml:space="preserve">Proportion of building.</w:t>
      </w:r>
    </w:p>
    <w:p>
      <w:pPr>
        <w:pStyle w:val="BodyText"/>
      </w:pPr>
      <w:r>
        <w:rPr>
          <w:b/>
          <w:bCs/>
        </w:rPr>
        <w:t xml:space="preserve">Hardscape Index:</w:t>
      </w:r>
      <w:r>
        <w:t xml:space="preserve"> </w:t>
      </w:r>
      <w:r>
        <w:t xml:space="preserve">Combining building, pavement / road, and vehicle / clutter classes.</w:t>
      </w:r>
    </w:p>
    <w:p>
      <w:pPr>
        <w:pStyle w:val="CaptionedFigure"/>
      </w:pPr>
      <w:r>
        <w:drawing>
          <wp:inline>
            <wp:extent cx="5334000" cy="4441261"/>
            <wp:effectExtent b="0" l="0" r="0" t="0"/>
            <wp:docPr descr="GSV-Derived Features" title="" id="37" name="Picture"/>
            <a:graphic>
              <a:graphicData uri="http://schemas.openxmlformats.org/drawingml/2006/picture">
                <pic:pic>
                  <pic:nvPicPr>
                    <pic:cNvPr descr="images/gsv_results.png" id="38" name="Picture"/>
                    <pic:cNvPicPr>
                      <a:picLocks noChangeArrowheads="1" noChangeAspect="1"/>
                    </pic:cNvPicPr>
                  </pic:nvPicPr>
                  <pic:blipFill>
                    <a:blip r:embed="rId36"/>
                    <a:stretch>
                      <a:fillRect/>
                    </a:stretch>
                  </pic:blipFill>
                  <pic:spPr bwMode="auto">
                    <a:xfrm>
                      <a:off x="0" y="0"/>
                      <a:ext cx="5334000" cy="4441261"/>
                    </a:xfrm>
                    <a:prstGeom prst="rect">
                      <a:avLst/>
                    </a:prstGeom>
                    <a:noFill/>
                    <a:ln w="9525">
                      <a:noFill/>
                      <a:headEnd/>
                      <a:tailEnd/>
                    </a:ln>
                  </pic:spPr>
                </pic:pic>
              </a:graphicData>
            </a:graphic>
          </wp:inline>
        </w:drawing>
      </w:r>
    </w:p>
    <w:p>
      <w:pPr>
        <w:pStyle w:val="ImageCaption"/>
      </w:pPr>
      <w:r>
        <w:t xml:space="preserve">GSV-Derived Features</w:t>
      </w:r>
    </w:p>
    <w:bookmarkEnd w:id="39"/>
    <w:bookmarkStart w:id="40" w:name="raster-extraction"/>
    <w:p>
      <w:pPr>
        <w:pStyle w:val="Heading2"/>
      </w:pPr>
      <w:r>
        <w:t xml:space="preserve">Raster Extraction</w:t>
      </w:r>
    </w:p>
    <w:p>
      <w:pPr>
        <w:pStyle w:val="FirstParagraph"/>
      </w:pPr>
      <w:r>
        <w:t xml:space="preserve">The collection of Landsat rasters moved through the below workflow in this order:</w:t>
      </w:r>
    </w:p>
    <w:p>
      <w:pPr>
        <w:pStyle w:val="Compact"/>
        <w:numPr>
          <w:ilvl w:val="0"/>
          <w:numId w:val="1005"/>
        </w:numPr>
      </w:pPr>
      <w:r>
        <w:t xml:space="preserve">Create Mosaic Dataset (Data Management)</w:t>
      </w:r>
    </w:p>
    <w:p>
      <w:pPr>
        <w:pStyle w:val="Compact"/>
        <w:numPr>
          <w:ilvl w:val="0"/>
          <w:numId w:val="1005"/>
        </w:numPr>
      </w:pPr>
      <w:r>
        <w:t xml:space="preserve">Make Mosaic Layer (Data Management)</w:t>
      </w:r>
    </w:p>
    <w:p>
      <w:pPr>
        <w:pStyle w:val="Compact"/>
        <w:numPr>
          <w:ilvl w:val="0"/>
          <w:numId w:val="1005"/>
        </w:numPr>
      </w:pPr>
      <w:r>
        <w:t xml:space="preserve">Cell Statistics (Spatial Analyst)</w:t>
      </w:r>
    </w:p>
    <w:p>
      <w:pPr>
        <w:pStyle w:val="Compact"/>
        <w:numPr>
          <w:ilvl w:val="0"/>
          <w:numId w:val="1005"/>
        </w:numPr>
      </w:pPr>
      <w:r>
        <w:t xml:space="preserve">Raster Calculator (Spatial Analyst)</w:t>
      </w:r>
    </w:p>
    <w:p>
      <w:pPr>
        <w:pStyle w:val="Compact"/>
        <w:numPr>
          <w:ilvl w:val="0"/>
          <w:numId w:val="1005"/>
        </w:numPr>
      </w:pPr>
      <w:r>
        <w:t xml:space="preserve">Copy Raster (Data Management)</w:t>
      </w:r>
    </w:p>
    <w:p>
      <w:pPr>
        <w:pStyle w:val="Compact"/>
        <w:numPr>
          <w:ilvl w:val="0"/>
          <w:numId w:val="1005"/>
        </w:numPr>
      </w:pPr>
      <w:r>
        <w:t xml:space="preserve">Composite Bands (Data Management)</w:t>
      </w:r>
    </w:p>
    <w:p>
      <w:pPr>
        <w:pStyle w:val="FirstParagraph"/>
      </w:pPr>
      <w:r>
        <w:t xml:space="preserve">A mosaic dataset was created to combine and stitch together 64 scenes from 2023 thru 2025 during dry season months December thru April.</w:t>
      </w:r>
    </w:p>
    <w:p>
      <w:pPr>
        <w:pStyle w:val="BodyText"/>
      </w:pPr>
      <w:r>
        <w:t xml:space="preserve">The different mosaic layers were isolated, with maximum LST and averages for other layers. This was to process individual cell statistics to convert DN raw values and re-scale, and raster calculations to calculate NDVI and alter LST from Kelvin to Celsius. Only the QA_PIXEL band was acquired through the 5th tool.</w:t>
      </w:r>
    </w:p>
    <w:p>
      <w:pPr>
        <w:pStyle w:val="BodyText"/>
      </w:pPr>
      <w:r>
        <w:t xml:space="preserve">Two extraction products were used for the rasters, one for the GSV sample points and second for the entire network nodes. All raster values were extracted for all nodes except for LST, where 0.0037% of nodes were unaccounted for, decreasing from 28,437 to 28,332 nodes.</w:t>
      </w:r>
    </w:p>
    <w:bookmarkEnd w:id="40"/>
    <w:bookmarkStart w:id="41" w:name="model-design-and-training"/>
    <w:p>
      <w:pPr>
        <w:pStyle w:val="Heading2"/>
      </w:pPr>
      <w:r>
        <w:t xml:space="preserve">Model Design and Training</w:t>
      </w:r>
    </w:p>
    <w:p>
      <w:pPr>
        <w:pStyle w:val="FirstParagraph"/>
      </w:pPr>
      <w:r>
        <w:t xml:space="preserve">Two XGBoost models were trained using the</w:t>
      </w:r>
      <w:r>
        <w:t xml:space="preserve"> </w:t>
      </w:r>
      <w:r>
        <w:rPr>
          <w:rStyle w:val="VerbatimChar"/>
        </w:rPr>
        <w:t xml:space="preserve">xgboost</w:t>
      </w:r>
      <w:r>
        <w:t xml:space="preserve"> </w:t>
      </w:r>
      <w:r>
        <w:t xml:space="preserve">Python library, one as the full model including the rasters as well as the GSV features for maximum predictive power, and second as the shared model for real-world deployment using only the raster features.</w:t>
      </w:r>
    </w:p>
    <w:p>
      <w:pPr>
        <w:pStyle w:val="SourceCode"/>
      </w:pPr>
      <w:r>
        <w:rPr>
          <w:rStyle w:val="CommentTok"/>
        </w:rPr>
        <w:t xml:space="preserve"># Landsat features: thermal and vegetation indices.</w:t>
      </w:r>
      <w:r>
        <w:br/>
      </w:r>
      <w:r>
        <w:rPr>
          <w:rStyle w:val="NormalTok"/>
        </w:rPr>
        <w:t xml:space="preserve">LANDSAT_FEATURES </w:t>
      </w:r>
      <w:r>
        <w:rPr>
          <w:rStyle w:val="OperatorTok"/>
        </w:rPr>
        <w:t xml:space="preserve">=</w:t>
      </w:r>
      <w:r>
        <w:rPr>
          <w:rStyle w:val="NormalTok"/>
        </w:rPr>
        <w:t xml:space="preserve"> [</w:t>
      </w:r>
      <w:r>
        <w:br/>
      </w:r>
      <w:r>
        <w:rPr>
          <w:rStyle w:val="NormalTok"/>
        </w:rPr>
        <w:t xml:space="preserve">    </w:t>
      </w:r>
      <w:r>
        <w:rPr>
          <w:rStyle w:val="StringTok"/>
        </w:rPr>
        <w:t xml:space="preserve">"ndvi"</w:t>
      </w:r>
      <w:r>
        <w:rPr>
          <w:rStyle w:val="NormalTok"/>
        </w:rPr>
        <w:t xml:space="preserve">,</w:t>
      </w:r>
      <w:r>
        <w:br/>
      </w:r>
      <w:r>
        <w:rPr>
          <w:rStyle w:val="NormalTok"/>
        </w:rPr>
        <w:t xml:space="preserve">    </w:t>
      </w:r>
      <w:r>
        <w:rPr>
          <w:rStyle w:val="StringTok"/>
        </w:rPr>
        <w:t xml:space="preserve">"emissivity"</w:t>
      </w:r>
      <w:r>
        <w:br/>
      </w:r>
      <w:r>
        <w:rPr>
          <w:rStyle w:val="NormalTok"/>
        </w:rPr>
        <w:t xml:space="preserve">]</w:t>
      </w:r>
      <w:r>
        <w:br/>
      </w:r>
      <w:r>
        <w:br/>
      </w:r>
      <w:r>
        <w:rPr>
          <w:rStyle w:val="CommentTok"/>
        </w:rPr>
        <w:t xml:space="preserve"># PALSAR features: radar backscatter and texture.</w:t>
      </w:r>
      <w:r>
        <w:br/>
      </w:r>
      <w:r>
        <w:rPr>
          <w:rStyle w:val="NormalTok"/>
        </w:rPr>
        <w:t xml:space="preserve">PALSAR_FEATURES </w:t>
      </w:r>
      <w:r>
        <w:rPr>
          <w:rStyle w:val="OperatorTok"/>
        </w:rPr>
        <w:t xml:space="preserve">=</w:t>
      </w:r>
      <w:r>
        <w:rPr>
          <w:rStyle w:val="NormalTok"/>
        </w:rPr>
        <w:t xml:space="preserve"> [</w:t>
      </w:r>
      <w:r>
        <w:br/>
      </w:r>
      <w:r>
        <w:rPr>
          <w:rStyle w:val="NormalTok"/>
        </w:rPr>
        <w:t xml:space="preserve">    </w:t>
      </w:r>
      <w:r>
        <w:rPr>
          <w:rStyle w:val="StringTok"/>
        </w:rPr>
        <w:t xml:space="preserve">"palsar_hh_db"</w:t>
      </w:r>
      <w:r>
        <w:rPr>
          <w:rStyle w:val="NormalTok"/>
        </w:rPr>
        <w:t xml:space="preserve">,</w:t>
      </w:r>
      <w:r>
        <w:br/>
      </w:r>
      <w:r>
        <w:rPr>
          <w:rStyle w:val="NormalTok"/>
        </w:rPr>
        <w:t xml:space="preserve">    </w:t>
      </w:r>
      <w:r>
        <w:rPr>
          <w:rStyle w:val="StringTok"/>
        </w:rPr>
        <w:t xml:space="preserve">"palsar_hv_db"</w:t>
      </w:r>
      <w:r>
        <w:rPr>
          <w:rStyle w:val="NormalTok"/>
        </w:rPr>
        <w:t xml:space="preserve">,</w:t>
      </w:r>
      <w:r>
        <w:br/>
      </w:r>
      <w:r>
        <w:rPr>
          <w:rStyle w:val="NormalTok"/>
        </w:rPr>
        <w:t xml:space="preserve">    </w:t>
      </w:r>
      <w:r>
        <w:rPr>
          <w:rStyle w:val="StringTok"/>
        </w:rPr>
        <w:t xml:space="preserve">"palsar_hv_hh_ratio"</w:t>
      </w:r>
      <w:r>
        <w:rPr>
          <w:rStyle w:val="NormalTok"/>
        </w:rPr>
        <w:t xml:space="preserve">,</w:t>
      </w:r>
      <w:r>
        <w:br/>
      </w:r>
      <w:r>
        <w:rPr>
          <w:rStyle w:val="NormalTok"/>
        </w:rPr>
        <w:t xml:space="preserve">    </w:t>
      </w:r>
      <w:r>
        <w:rPr>
          <w:rStyle w:val="StringTok"/>
        </w:rPr>
        <w:t xml:space="preserve">"palsar_glcm_contrast"</w:t>
      </w:r>
      <w:r>
        <w:rPr>
          <w:rStyle w:val="NormalTok"/>
        </w:rPr>
        <w:t xml:space="preserve">,</w:t>
      </w:r>
      <w:r>
        <w:br/>
      </w:r>
      <w:r>
        <w:rPr>
          <w:rStyle w:val="NormalTok"/>
        </w:rPr>
        <w:t xml:space="preserve">    </w:t>
      </w:r>
      <w:r>
        <w:rPr>
          <w:rStyle w:val="StringTok"/>
        </w:rPr>
        <w:t xml:space="preserve">"palsar_glcm_homogeneity"</w:t>
      </w:r>
      <w:r>
        <w:rPr>
          <w:rStyle w:val="NormalTok"/>
        </w:rPr>
        <w:t xml:space="preserve">,</w:t>
      </w:r>
      <w:r>
        <w:br/>
      </w:r>
      <w:r>
        <w:rPr>
          <w:rStyle w:val="NormalTok"/>
        </w:rPr>
        <w:t xml:space="preserve">    </w:t>
      </w:r>
      <w:r>
        <w:rPr>
          <w:rStyle w:val="StringTok"/>
        </w:rPr>
        <w:t xml:space="preserve">"palsar_glcm_energy"</w:t>
      </w:r>
      <w:r>
        <w:br/>
      </w:r>
      <w:r>
        <w:rPr>
          <w:rStyle w:val="NormalTok"/>
        </w:rPr>
        <w:t xml:space="preserve">]</w:t>
      </w:r>
      <w:r>
        <w:br/>
      </w:r>
      <w:r>
        <w:br/>
      </w:r>
      <w:r>
        <w:rPr>
          <w:rStyle w:val="CommentTok"/>
        </w:rPr>
        <w:t xml:space="preserve"># DSM features: elevation and sky view.</w:t>
      </w:r>
      <w:r>
        <w:br/>
      </w:r>
      <w:r>
        <w:rPr>
          <w:rStyle w:val="NormalTok"/>
        </w:rPr>
        <w:t xml:space="preserve">DSM_FEATURES </w:t>
      </w:r>
      <w:r>
        <w:rPr>
          <w:rStyle w:val="OperatorTok"/>
        </w:rPr>
        <w:t xml:space="preserve">=</w:t>
      </w:r>
      <w:r>
        <w:rPr>
          <w:rStyle w:val="NormalTok"/>
        </w:rPr>
        <w:t xml:space="preserve"> [</w:t>
      </w:r>
      <w:r>
        <w:br/>
      </w:r>
      <w:r>
        <w:rPr>
          <w:rStyle w:val="NormalTok"/>
        </w:rPr>
        <w:t xml:space="preserve">    </w:t>
      </w:r>
      <w:r>
        <w:rPr>
          <w:rStyle w:val="StringTok"/>
        </w:rPr>
        <w:t xml:space="preserve">"elevation_m"</w:t>
      </w:r>
      <w:r>
        <w:rPr>
          <w:rStyle w:val="NormalTok"/>
        </w:rPr>
        <w:t xml:space="preserve">,</w:t>
      </w:r>
      <w:r>
        <w:br/>
      </w:r>
      <w:r>
        <w:rPr>
          <w:rStyle w:val="NormalTok"/>
        </w:rPr>
        <w:t xml:space="preserve">    </w:t>
      </w:r>
      <w:r>
        <w:rPr>
          <w:rStyle w:val="StringTok"/>
        </w:rPr>
        <w:t xml:space="preserve">"sky_view_factor"</w:t>
      </w:r>
      <w:r>
        <w:br/>
      </w:r>
      <w:r>
        <w:rPr>
          <w:rStyle w:val="NormalTok"/>
        </w:rPr>
        <w:t xml:space="preserve">]</w:t>
      </w:r>
      <w:r>
        <w:br/>
      </w:r>
      <w:r>
        <w:br/>
      </w:r>
      <w:r>
        <w:rPr>
          <w:rStyle w:val="CommentTok"/>
        </w:rPr>
        <w:t xml:space="preserve"># Landcover features.</w:t>
      </w:r>
      <w:r>
        <w:br/>
      </w:r>
      <w:r>
        <w:rPr>
          <w:rStyle w:val="NormalTok"/>
        </w:rPr>
        <w:t xml:space="preserve">LANDCOVER_FEATURES </w:t>
      </w:r>
      <w:r>
        <w:rPr>
          <w:rStyle w:val="OperatorTok"/>
        </w:rPr>
        <w:t xml:space="preserve">=</w:t>
      </w:r>
      <w:r>
        <w:rPr>
          <w:rStyle w:val="NormalTok"/>
        </w:rPr>
        <w:t xml:space="preserve"> [</w:t>
      </w:r>
      <w:r>
        <w:br/>
      </w:r>
      <w:r>
        <w:rPr>
          <w:rStyle w:val="NormalTok"/>
        </w:rPr>
        <w:t xml:space="preserve">    </w:t>
      </w:r>
      <w:r>
        <w:rPr>
          <w:rStyle w:val="StringTok"/>
        </w:rPr>
        <w:t xml:space="preserve">"landcover_class"</w:t>
      </w:r>
      <w:r>
        <w:br/>
      </w:r>
      <w:r>
        <w:rPr>
          <w:rStyle w:val="NormalTok"/>
        </w:rPr>
        <w:t xml:space="preserve">]</w:t>
      </w:r>
      <w:r>
        <w:br/>
      </w:r>
      <w:r>
        <w:br/>
      </w:r>
      <w:r>
        <w:rPr>
          <w:rStyle w:val="CommentTok"/>
        </w:rPr>
        <w:t xml:space="preserve"># GSV segmentation features: visual indices from street imagery.</w:t>
      </w:r>
      <w:r>
        <w:br/>
      </w:r>
      <w:r>
        <w:rPr>
          <w:rStyle w:val="NormalTok"/>
        </w:rPr>
        <w:t xml:space="preserve">GSV_SEGMENTATION_FEATURES </w:t>
      </w:r>
      <w:r>
        <w:rPr>
          <w:rStyle w:val="OperatorTok"/>
        </w:rPr>
        <w:t xml:space="preserve">=</w:t>
      </w:r>
      <w:r>
        <w:rPr>
          <w:rStyle w:val="NormalTok"/>
        </w:rPr>
        <w:t xml:space="preserve"> [</w:t>
      </w:r>
      <w:r>
        <w:br/>
      </w:r>
      <w:r>
        <w:rPr>
          <w:rStyle w:val="NormalTok"/>
        </w:rPr>
        <w:t xml:space="preserve">    </w:t>
      </w:r>
      <w:r>
        <w:rPr>
          <w:rStyle w:val="StringTok"/>
        </w:rPr>
        <w:t xml:space="preserve">"pct_vegetation"</w:t>
      </w:r>
      <w:r>
        <w:rPr>
          <w:rStyle w:val="NormalTok"/>
        </w:rPr>
        <w:t xml:space="preserve">,</w:t>
      </w:r>
      <w:r>
        <w:br/>
      </w:r>
      <w:r>
        <w:rPr>
          <w:rStyle w:val="NormalTok"/>
        </w:rPr>
        <w:t xml:space="preserve">    </w:t>
      </w:r>
      <w:r>
        <w:rPr>
          <w:rStyle w:val="StringTok"/>
        </w:rPr>
        <w:t xml:space="preserve">"pct_water"</w:t>
      </w:r>
      <w:r>
        <w:rPr>
          <w:rStyle w:val="NormalTok"/>
        </w:rPr>
        <w:t xml:space="preserve">,</w:t>
      </w:r>
      <w:r>
        <w:br/>
      </w:r>
      <w:r>
        <w:rPr>
          <w:rStyle w:val="NormalTok"/>
        </w:rPr>
        <w:t xml:space="preserve">]</w:t>
      </w:r>
      <w:r>
        <w:br/>
      </w:r>
      <w:r>
        <w:br/>
      </w:r>
      <w:r>
        <w:rPr>
          <w:rStyle w:val="CommentTok"/>
        </w:rPr>
        <w:t xml:space="preserve"># GSV derived features: computed indices.</w:t>
      </w:r>
      <w:r>
        <w:br/>
      </w:r>
      <w:r>
        <w:rPr>
          <w:rStyle w:val="NormalTok"/>
        </w:rPr>
        <w:t xml:space="preserve">GSV_DERIVED_FEATURES </w:t>
      </w:r>
      <w:r>
        <w:rPr>
          <w:rStyle w:val="OperatorTok"/>
        </w:rPr>
        <w:t xml:space="preserve">=</w:t>
      </w:r>
      <w:r>
        <w:rPr>
          <w:rStyle w:val="NormalTok"/>
        </w:rPr>
        <w:t xml:space="preserve"> [</w:t>
      </w:r>
      <w:r>
        <w:br/>
      </w:r>
      <w:r>
        <w:rPr>
          <w:rStyle w:val="NormalTok"/>
        </w:rPr>
        <w:t xml:space="preserve">    </w:t>
      </w:r>
      <w:r>
        <w:rPr>
          <w:rStyle w:val="StringTok"/>
        </w:rPr>
        <w:t xml:space="preserve">"gvi"</w:t>
      </w:r>
      <w:r>
        <w:rPr>
          <w:rStyle w:val="NormalTok"/>
        </w:rPr>
        <w:t xml:space="preserve">,</w:t>
      </w:r>
      <w:r>
        <w:br/>
      </w:r>
      <w:r>
        <w:rPr>
          <w:rStyle w:val="NormalTok"/>
        </w:rPr>
        <w:t xml:space="preserve">    </w:t>
      </w:r>
      <w:r>
        <w:rPr>
          <w:rStyle w:val="StringTok"/>
        </w:rPr>
        <w:t xml:space="preserve">"svi"</w:t>
      </w:r>
      <w:r>
        <w:rPr>
          <w:rStyle w:val="NormalTok"/>
        </w:rPr>
        <w:t xml:space="preserve">,</w:t>
      </w:r>
      <w:r>
        <w:br/>
      </w:r>
      <w:r>
        <w:rPr>
          <w:rStyle w:val="NormalTok"/>
        </w:rPr>
        <w:t xml:space="preserve">    </w:t>
      </w:r>
      <w:r>
        <w:rPr>
          <w:rStyle w:val="StringTok"/>
        </w:rPr>
        <w:t xml:space="preserve">"bvi"</w:t>
      </w:r>
      <w:r>
        <w:rPr>
          <w:rStyle w:val="NormalTok"/>
        </w:rPr>
        <w:t xml:space="preserve">,</w:t>
      </w:r>
      <w:r>
        <w:br/>
      </w:r>
      <w:r>
        <w:rPr>
          <w:rStyle w:val="NormalTok"/>
        </w:rPr>
        <w:t xml:space="preserve">    </w:t>
      </w:r>
      <w:r>
        <w:rPr>
          <w:rStyle w:val="StringTok"/>
        </w:rPr>
        <w:t xml:space="preserve">"hardscape_index"</w:t>
      </w:r>
      <w:r>
        <w:br/>
      </w:r>
      <w:r>
        <w:rPr>
          <w:rStyle w:val="NormalTok"/>
        </w:rPr>
        <w:t xml:space="preserve">]</w:t>
      </w:r>
      <w:r>
        <w:br/>
      </w:r>
      <w:r>
        <w:br/>
      </w:r>
      <w:r>
        <w:rPr>
          <w:rStyle w:val="CommentTok"/>
        </w:rPr>
        <w:t xml:space="preserve"># Location features: administrative boundaries.</w:t>
      </w:r>
      <w:r>
        <w:br/>
      </w:r>
      <w:r>
        <w:rPr>
          <w:rStyle w:val="NormalTok"/>
        </w:rPr>
        <w:t xml:space="preserve">LOCATION_FEATURES </w:t>
      </w:r>
      <w:r>
        <w:rPr>
          <w:rStyle w:val="OperatorTok"/>
        </w:rPr>
        <w:t xml:space="preserve">=</w:t>
      </w:r>
      <w:r>
        <w:rPr>
          <w:rStyle w:val="NormalTok"/>
        </w:rPr>
        <w:t xml:space="preserve"> [</w:t>
      </w:r>
      <w:r>
        <w:br/>
      </w:r>
      <w:r>
        <w:rPr>
          <w:rStyle w:val="NormalTok"/>
        </w:rPr>
        <w:t xml:space="preserve">    </w:t>
      </w:r>
      <w:r>
        <w:rPr>
          <w:rStyle w:val="StringTok"/>
        </w:rPr>
        <w:t xml:space="preserve">"district"</w:t>
      </w:r>
      <w:r>
        <w:rPr>
          <w:rStyle w:val="NormalTok"/>
        </w:rPr>
        <w:t xml:space="preserve">,</w:t>
      </w:r>
      <w:r>
        <w:br/>
      </w:r>
      <w:r>
        <w:rPr>
          <w:rStyle w:val="NormalTok"/>
        </w:rPr>
        <w:t xml:space="preserve">    </w:t>
      </w:r>
      <w:r>
        <w:rPr>
          <w:rStyle w:val="StringTok"/>
        </w:rPr>
        <w:t xml:space="preserve">"ward"</w:t>
      </w:r>
      <w:r>
        <w:br/>
      </w:r>
      <w:r>
        <w:rPr>
          <w:rStyle w:val="NormalTok"/>
        </w:rPr>
        <w:t xml:space="preserve">]</w:t>
      </w:r>
    </w:p>
    <w:p>
      <w:pPr>
        <w:pStyle w:val="FirstParagraph"/>
      </w:pPr>
      <w:r>
        <w:t xml:space="preserve">The XGBoost parameters were carefully selected and to balance complexity, learning speed, and regularization to prevent overfitting while still capturing the complex, non-linear mechanisms that impact LST, and are as follows:</w:t>
      </w:r>
    </w:p>
    <w:p>
      <w:pPr>
        <w:pStyle w:val="BodyText"/>
      </w:pPr>
      <w:r>
        <w:rPr>
          <w:rStyle w:val="VerbatimChar"/>
        </w:rPr>
        <w:t xml:space="preserve">random.seed(42)</w:t>
      </w:r>
    </w:p>
    <w:p>
      <w:pPr>
        <w:pStyle w:val="BodyText"/>
      </w:pPr>
      <w:r>
        <w:rPr>
          <w:rStyle w:val="VerbatimChar"/>
        </w:rPr>
        <w:t xml:space="preserve">n_estimators</w:t>
      </w:r>
      <w:r>
        <w:t xml:space="preserve">: 500</w:t>
      </w:r>
    </w:p>
    <w:p>
      <w:pPr>
        <w:pStyle w:val="BodyText"/>
      </w:pPr>
      <w:r>
        <w:rPr>
          <w:rStyle w:val="VerbatimChar"/>
        </w:rPr>
        <w:t xml:space="preserve">max_depth</w:t>
      </w:r>
      <w:r>
        <w:t xml:space="preserve">: 6</w:t>
      </w:r>
    </w:p>
    <w:p>
      <w:pPr>
        <w:pStyle w:val="BodyText"/>
      </w:pPr>
      <w:r>
        <w:rPr>
          <w:rStyle w:val="VerbatimChar"/>
        </w:rPr>
        <w:t xml:space="preserve">learning_rate</w:t>
      </w:r>
      <w:r>
        <w:t xml:space="preserve">: 0.05</w:t>
      </w:r>
    </w:p>
    <w:p>
      <w:pPr>
        <w:pStyle w:val="BodyText"/>
      </w:pPr>
      <w:r>
        <w:rPr>
          <w:rStyle w:val="VerbatimChar"/>
        </w:rPr>
        <w:t xml:space="preserve">subsample</w:t>
      </w:r>
      <w:r>
        <w:t xml:space="preserve">: 0.8</w:t>
      </w:r>
    </w:p>
    <w:p>
      <w:pPr>
        <w:pStyle w:val="BodyText"/>
      </w:pPr>
      <w:r>
        <w:rPr>
          <w:rStyle w:val="VerbatimChar"/>
        </w:rPr>
        <w:t xml:space="preserve">colsample_bytree</w:t>
      </w:r>
      <w:r>
        <w:t xml:space="preserve">: 0.8</w:t>
      </w:r>
    </w:p>
    <w:p>
      <w:pPr>
        <w:pStyle w:val="BodyText"/>
      </w:pPr>
      <w:r>
        <w:rPr>
          <w:rStyle w:val="VerbatimChar"/>
        </w:rPr>
        <w:t xml:space="preserve">min_child_weight</w:t>
      </w:r>
      <w:r>
        <w:t xml:space="preserve">: 3</w:t>
      </w:r>
    </w:p>
    <w:p>
      <w:pPr>
        <w:pStyle w:val="BodyText"/>
      </w:pPr>
      <w:r>
        <w:rPr>
          <w:rStyle w:val="VerbatimChar"/>
        </w:rPr>
        <w:t xml:space="preserve">reg_alpha</w:t>
      </w:r>
      <w:r>
        <w:t xml:space="preserve">: 0.1</w:t>
      </w:r>
    </w:p>
    <w:p>
      <w:pPr>
        <w:pStyle w:val="BodyText"/>
      </w:pPr>
      <w:r>
        <w:rPr>
          <w:rStyle w:val="VerbatimChar"/>
        </w:rPr>
        <w:t xml:space="preserve">reg_lambda</w:t>
      </w:r>
      <w:r>
        <w:t xml:space="preserve">: 1.0</w:t>
      </w:r>
    </w:p>
    <w:p>
      <w:pPr>
        <w:pStyle w:val="BodyText"/>
      </w:pPr>
      <w:r>
        <w:rPr>
          <w:rStyle w:val="VerbatimChar"/>
        </w:rPr>
        <w:t xml:space="preserve">random_state</w:t>
      </w:r>
      <w:r>
        <w:t xml:space="preserve">: 42</w:t>
      </w:r>
    </w:p>
    <w:p>
      <w:pPr>
        <w:pStyle w:val="BodyText"/>
      </w:pPr>
      <w:r>
        <w:rPr>
          <w:rStyle w:val="VerbatimChar"/>
        </w:rPr>
        <w:t xml:space="preserve">n_jobs</w:t>
      </w:r>
      <w:r>
        <w:t xml:space="preserve">: -1</w:t>
      </w:r>
    </w:p>
    <w:p>
      <w:pPr>
        <w:pStyle w:val="BodyText"/>
      </w:pPr>
      <w:r>
        <w:rPr>
          <w:rStyle w:val="VerbatimChar"/>
        </w:rPr>
        <w:t xml:space="preserve">early_stopping_rounds</w:t>
      </w:r>
      <w:r>
        <w:t xml:space="preserve">: 50</w:t>
      </w:r>
    </w:p>
    <w:bookmarkEnd w:id="41"/>
    <w:bookmarkStart w:id="42" w:name="node-prediction-and-routing"/>
    <w:p>
      <w:pPr>
        <w:pStyle w:val="Heading2"/>
      </w:pPr>
      <w:r>
        <w:t xml:space="preserve">Node Prediction and Routing</w:t>
      </w:r>
    </w:p>
    <w:p>
      <w:pPr>
        <w:pStyle w:val="FirstParagraph"/>
      </w:pPr>
      <w:r>
        <w:t xml:space="preserve">A patchwork approach was pursued, using the GSV model to predict within wards of interest and the shared raster-only model to predict outside of those wards.</w:t>
      </w:r>
    </w:p>
    <w:p>
      <w:pPr>
        <w:pStyle w:val="BodyText"/>
      </w:pPr>
      <w:r>
        <w:t xml:space="preserve">After generating predictions for network nodes a prediction raster was derived from them and interpolated to create a hybrid cost surface. The raster resolution was 0.0001 degrees and 2,266 x 1,409 pixel resolution clipped to the area of interest encompassing the districts and a Gaussian blur was applied to smooth out streak artifacts.</w:t>
      </w:r>
    </w:p>
    <w:p>
      <w:pPr>
        <w:pStyle w:val="BodyText"/>
      </w:pPr>
      <w:r>
        <w:t xml:space="preserve">Dijkstra’s algorithm was implemented, assigning heat edge costs by combining normalized length and temperature to support three route types with tunable heat penalty and reward parameters: shortest, coolest with a temperature penalty, and hottest with an inverted temperature penalty to reward.</w:t>
      </w:r>
    </w:p>
    <w:p>
      <w:pPr>
        <w:pStyle w:val="SourceCode"/>
      </w:pPr>
      <w:r>
        <w:rPr>
          <w:rStyle w:val="CommentTok"/>
        </w:rPr>
        <w:t xml:space="preserve"># Heat weights.</w:t>
      </w:r>
      <w:r>
        <w:br/>
      </w:r>
      <w:r>
        <w:rPr>
          <w:rStyle w:val="ControlFlowTok"/>
        </w:rPr>
        <w:t xml:space="preserve">for</w:t>
      </w:r>
      <w:r>
        <w:rPr>
          <w:rStyle w:val="NormalTok"/>
        </w:rPr>
        <w:t xml:space="preserve"> u, v, data </w:t>
      </w:r>
      <w:r>
        <w:rPr>
          <w:rStyle w:val="KeywordTok"/>
        </w:rPr>
        <w:t xml:space="preserve">in</w:t>
      </w:r>
      <w:r>
        <w:rPr>
          <w:rStyle w:val="NormalTok"/>
        </w:rPr>
        <w:t xml:space="preserve"> G_undirected.edges(data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avg_lst </w:t>
      </w:r>
      <w:r>
        <w:rPr>
          <w:rStyle w:val="OperatorTok"/>
        </w:rPr>
        <w:t xml:space="preserve">=</w:t>
      </w:r>
      <w:r>
        <w:rPr>
          <w:rStyle w:val="NormalTok"/>
        </w:rPr>
        <w:t xml:space="preserve"> data[</w:t>
      </w:r>
      <w:r>
        <w:rPr>
          <w:rStyle w:val="StringTok"/>
        </w:rPr>
        <w:t xml:space="preserve">"avg_lst"</w:t>
      </w:r>
      <w:r>
        <w:rPr>
          <w:rStyle w:val="NormalTok"/>
        </w:rPr>
        <w:t xml:space="preserve">]</w:t>
      </w:r>
      <w:r>
        <w:br/>
      </w:r>
      <w:r>
        <w:rPr>
          <w:rStyle w:val="NormalTok"/>
        </w:rPr>
        <w:t xml:space="preserve">    length  </w:t>
      </w:r>
      <w:r>
        <w:rPr>
          <w:rStyle w:val="OperatorTok"/>
        </w:rPr>
        <w:t xml:space="preserve">=</w:t>
      </w:r>
      <w:r>
        <w:rPr>
          <w:rStyle w:val="NormalTok"/>
        </w:rPr>
        <w:t xml:space="preserve"> data[</w:t>
      </w:r>
      <w:r>
        <w:rPr>
          <w:rStyle w:val="StringTok"/>
        </w:rPr>
        <w:t xml:space="preserve">"length"</w:t>
      </w:r>
      <w:r>
        <w:rPr>
          <w:rStyle w:val="NormalTok"/>
        </w:rPr>
        <w:t xml:space="preserve">]</w:t>
      </w:r>
      <w:r>
        <w:br/>
      </w:r>
      <w:r>
        <w:br/>
      </w:r>
      <w:r>
        <w:rPr>
          <w:rStyle w:val="NormalTok"/>
        </w:rPr>
        <w:t xml:space="preserve">    </w:t>
      </w:r>
      <w:r>
        <w:rPr>
          <w:rStyle w:val="CommentTok"/>
        </w:rPr>
        <w:t xml:space="preserve"># Normalize temperature to [0, 1].</w:t>
      </w:r>
      <w:r>
        <w:br/>
      </w:r>
      <w:r>
        <w:rPr>
          <w:rStyle w:val="NormalTok"/>
        </w:rPr>
        <w:t xml:space="preserve">    temp_norm </w:t>
      </w:r>
      <w:r>
        <w:rPr>
          <w:rStyle w:val="OperatorTok"/>
        </w:rPr>
        <w:t xml:space="preserve">=</w:t>
      </w:r>
      <w:r>
        <w:rPr>
          <w:rStyle w:val="NormalTok"/>
        </w:rPr>
        <w:t xml:space="preserve"> (avg_lst </w:t>
      </w:r>
      <w:r>
        <w:rPr>
          <w:rStyle w:val="OperatorTok"/>
        </w:rPr>
        <w:t xml:space="preserve">-</w:t>
      </w:r>
      <w:r>
        <w:rPr>
          <w:rStyle w:val="NormalTok"/>
        </w:rPr>
        <w:t xml:space="preserve"> lst_min) </w:t>
      </w:r>
      <w:r>
        <w:rPr>
          <w:rStyle w:val="OperatorTok"/>
        </w:rPr>
        <w:t xml:space="preserve">/</w:t>
      </w:r>
      <w:r>
        <w:rPr>
          <w:rStyle w:val="NormalTok"/>
        </w:rPr>
        <w:t xml:space="preserve"> lst_range</w:t>
      </w:r>
      <w:r>
        <w:br/>
      </w:r>
      <w:r>
        <w:br/>
      </w:r>
      <w:r>
        <w:rPr>
          <w:rStyle w:val="NormalTok"/>
        </w:rPr>
        <w:t xml:space="preserve">    </w:t>
      </w:r>
      <w:r>
        <w:rPr>
          <w:rStyle w:val="CommentTok"/>
        </w:rPr>
        <w:t xml:space="preserve"># Normalize length relative to mean edge length.</w:t>
      </w:r>
      <w:r>
        <w:br/>
      </w:r>
      <w:r>
        <w:rPr>
          <w:rStyle w:val="NormalTok"/>
        </w:rPr>
        <w:t xml:space="preserve">    length_norm </w:t>
      </w:r>
      <w:r>
        <w:rPr>
          <w:rStyle w:val="OperatorTok"/>
        </w:rPr>
        <w:t xml:space="preserve">=</w:t>
      </w:r>
      <w:r>
        <w:rPr>
          <w:rStyle w:val="NormalTok"/>
        </w:rPr>
        <w:t xml:space="preserve"> length </w:t>
      </w:r>
      <w:r>
        <w:rPr>
          <w:rStyle w:val="OperatorTok"/>
        </w:rPr>
        <w:t xml:space="preserve">/</w:t>
      </w:r>
      <w:r>
        <w:rPr>
          <w:rStyle w:val="NormalTok"/>
        </w:rPr>
        <w:t xml:space="preserve"> len_mean</w:t>
      </w:r>
      <w:r>
        <w:br/>
      </w:r>
      <w:r>
        <w:br/>
      </w:r>
      <w:r>
        <w:rPr>
          <w:rStyle w:val="NormalTok"/>
        </w:rPr>
        <w:t xml:space="preserve">    </w:t>
      </w:r>
      <w:r>
        <w:rPr>
          <w:rStyle w:val="CommentTok"/>
        </w:rPr>
        <w:t xml:space="preserve"># Tune lambda.</w:t>
      </w:r>
      <w:r>
        <w:br/>
      </w:r>
      <w:r>
        <w:rPr>
          <w:rStyle w:val="NormalTok"/>
        </w:rPr>
        <w:t xml:space="preserve">    lambda_cool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How much to penalize heat.</w:t>
      </w:r>
      <w:r>
        <w:br/>
      </w:r>
      <w:r>
        <w:rPr>
          <w:rStyle w:val="NormalTok"/>
        </w:rPr>
        <w:t xml:space="preserve">    lambda_hot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How much to reward heat.</w:t>
      </w:r>
      <w:r>
        <w:br/>
      </w:r>
      <w:r>
        <w:br/>
      </w:r>
      <w:r>
        <w:rPr>
          <w:rStyle w:val="NormalTok"/>
        </w:rPr>
        <w:t xml:space="preserve">    </w:t>
      </w:r>
      <w:r>
        <w:rPr>
          <w:rStyle w:val="CommentTok"/>
        </w:rPr>
        <w:t xml:space="preserve"># Cool Cost: shorter + cooler (high temperature = high penalty).</w:t>
      </w:r>
      <w:r>
        <w:br/>
      </w:r>
      <w:r>
        <w:rPr>
          <w:rStyle w:val="NormalTok"/>
        </w:rPr>
        <w:t xml:space="preserve">    data[</w:t>
      </w:r>
      <w:r>
        <w:rPr>
          <w:rStyle w:val="StringTok"/>
        </w:rPr>
        <w:t xml:space="preserve">"cool_cost"</w:t>
      </w:r>
      <w:r>
        <w:rPr>
          <w:rStyle w:val="NormalTok"/>
        </w:rPr>
        <w:t xml:space="preserve">] </w:t>
      </w:r>
      <w:r>
        <w:rPr>
          <w:rStyle w:val="OperatorTok"/>
        </w:rPr>
        <w:t xml:space="preserve">=</w:t>
      </w:r>
      <w:r>
        <w:rPr>
          <w:rStyle w:val="NormalTok"/>
        </w:rPr>
        <w:t xml:space="preserve"> length_norm </w:t>
      </w:r>
      <w:r>
        <w:rPr>
          <w:rStyle w:val="OperatorTok"/>
        </w:rPr>
        <w:t xml:space="preserve">+</w:t>
      </w:r>
      <w:r>
        <w:rPr>
          <w:rStyle w:val="NormalTok"/>
        </w:rPr>
        <w:t xml:space="preserve"> lambda_cool </w:t>
      </w:r>
      <w:r>
        <w:rPr>
          <w:rStyle w:val="OperatorTok"/>
        </w:rPr>
        <w:t xml:space="preserve">*</w:t>
      </w:r>
      <w:r>
        <w:rPr>
          <w:rStyle w:val="NormalTok"/>
        </w:rPr>
        <w:t xml:space="preserve"> temp_norm</w:t>
      </w:r>
      <w:r>
        <w:br/>
      </w:r>
      <w:r>
        <w:br/>
      </w:r>
      <w:r>
        <w:rPr>
          <w:rStyle w:val="NormalTok"/>
        </w:rPr>
        <w:t xml:space="preserve">    </w:t>
      </w:r>
      <w:r>
        <w:rPr>
          <w:rStyle w:val="CommentTok"/>
        </w:rPr>
        <w:t xml:space="preserve"># Hot Cost: shorter + hotter (invert temp_norm).</w:t>
      </w:r>
      <w:r>
        <w:br/>
      </w:r>
      <w:r>
        <w:rPr>
          <w:rStyle w:val="NormalTok"/>
        </w:rPr>
        <w:t xml:space="preserve">    data[</w:t>
      </w:r>
      <w:r>
        <w:rPr>
          <w:rStyle w:val="StringTok"/>
        </w:rPr>
        <w:t xml:space="preserve">"hot_cost"</w:t>
      </w:r>
      <w:r>
        <w:rPr>
          <w:rStyle w:val="NormalTok"/>
        </w:rPr>
        <w:t xml:space="preserve">] </w:t>
      </w:r>
      <w:r>
        <w:rPr>
          <w:rStyle w:val="OperatorTok"/>
        </w:rPr>
        <w:t xml:space="preserve">=</w:t>
      </w:r>
      <w:r>
        <w:rPr>
          <w:rStyle w:val="NormalTok"/>
        </w:rPr>
        <w:t xml:space="preserve"> length_norm </w:t>
      </w:r>
      <w:r>
        <w:rPr>
          <w:rStyle w:val="OperatorTok"/>
        </w:rPr>
        <w:t xml:space="preserve">+</w:t>
      </w:r>
      <w:r>
        <w:rPr>
          <w:rStyle w:val="NormalTok"/>
        </w:rPr>
        <w:t xml:space="preserve"> lambda_hot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temp_norm)</w:t>
      </w:r>
    </w:p>
    <w:p>
      <w:pPr>
        <w:pStyle w:val="SourceCode"/>
      </w:pPr>
      <w:r>
        <w:rPr>
          <w:rStyle w:val="CommentTok"/>
        </w:rPr>
        <w:t xml:space="preserve"># Routing helpers.</w:t>
      </w:r>
      <w:r>
        <w:br/>
      </w:r>
      <w:r>
        <w:rPr>
          <w:rStyle w:val="KeywordTok"/>
        </w:rPr>
        <w:t xml:space="preserve">def</w:t>
      </w:r>
      <w:r>
        <w:rPr>
          <w:rStyle w:val="NormalTok"/>
        </w:rPr>
        <w:t xml:space="preserve"> get_hottest_route(G, start, end):</w:t>
      </w:r>
      <w:r>
        <w:br/>
      </w:r>
      <w:r>
        <w:rPr>
          <w:rStyle w:val="NormalTok"/>
        </w:rPr>
        <w:t xml:space="preserve">    </w:t>
      </w:r>
      <w:r>
        <w:rPr>
          <w:rStyle w:val="CommentTok"/>
        </w:rPr>
        <w:t xml:space="preserve">"""Shortest-ish but biased toward hottest edges."""</w:t>
      </w:r>
      <w:r>
        <w:br/>
      </w:r>
      <w:r>
        <w:rPr>
          <w:rStyle w:val="NormalTok"/>
        </w:rPr>
        <w:t xml:space="preserve">    </w:t>
      </w:r>
      <w:r>
        <w:rPr>
          <w:rStyle w:val="ControlFlowTok"/>
        </w:rPr>
        <w:t xml:space="preserve">try</w:t>
      </w:r>
      <w:r>
        <w:rPr>
          <w:rStyle w:val="NormalTok"/>
        </w:rPr>
        <w:t xml:space="preserve">:</w:t>
      </w:r>
      <w:r>
        <w:br/>
      </w:r>
      <w:r>
        <w:rPr>
          <w:rStyle w:val="NormalTok"/>
        </w:rPr>
        <w:t xml:space="preserve">        path </w:t>
      </w:r>
      <w:r>
        <w:rPr>
          <w:rStyle w:val="OperatorTok"/>
        </w:rPr>
        <w:t xml:space="preserve">=</w:t>
      </w:r>
      <w:r>
        <w:rPr>
          <w:rStyle w:val="NormalTok"/>
        </w:rPr>
        <w:t xml:space="preserve"> nx.dijkstra_path(G, start, end, weight </w:t>
      </w:r>
      <w:r>
        <w:rPr>
          <w:rStyle w:val="OperatorTok"/>
        </w:rPr>
        <w:t xml:space="preserve">=</w:t>
      </w:r>
      <w:r>
        <w:rPr>
          <w:rStyle w:val="NormalTok"/>
        </w:rPr>
        <w:t xml:space="preserve"> </w:t>
      </w:r>
      <w:r>
        <w:rPr>
          <w:rStyle w:val="StringTok"/>
        </w:rPr>
        <w:t xml:space="preserve">"hot_cost"</w:t>
      </w:r>
      <w:r>
        <w:rPr>
          <w:rStyle w:val="NormalTok"/>
        </w:rPr>
        <w:t xml:space="preserve">)</w:t>
      </w:r>
      <w:r>
        <w:br/>
      </w:r>
      <w:r>
        <w:rPr>
          <w:rStyle w:val="NormalTok"/>
        </w:rPr>
        <w:t xml:space="preserve">        cost </w:t>
      </w:r>
      <w:r>
        <w:rPr>
          <w:rStyle w:val="OperatorTok"/>
        </w:rPr>
        <w:t xml:space="preserve">=</w:t>
      </w:r>
      <w:r>
        <w:rPr>
          <w:rStyle w:val="NormalTok"/>
        </w:rPr>
        <w:t xml:space="preserve"> nx.dijkstra_path_length(G, start, end, weight </w:t>
      </w:r>
      <w:r>
        <w:rPr>
          <w:rStyle w:val="OperatorTok"/>
        </w:rPr>
        <w:t xml:space="preserve">=</w:t>
      </w:r>
      <w:r>
        <w:rPr>
          <w:rStyle w:val="NormalTok"/>
        </w:rPr>
        <w:t xml:space="preserve"> </w:t>
      </w:r>
      <w:r>
        <w:rPr>
          <w:rStyle w:val="StringTok"/>
        </w:rPr>
        <w:t xml:space="preserve">"hot_cost"</w:t>
      </w:r>
      <w:r>
        <w:rPr>
          <w:rStyle w:val="NormalTok"/>
        </w:rPr>
        <w:t xml:space="preserve">)</w:t>
      </w:r>
      <w:r>
        <w:br/>
      </w:r>
      <w:r>
        <w:rPr>
          <w:rStyle w:val="NormalTok"/>
        </w:rPr>
        <w:t xml:space="preserve">        dist </w:t>
      </w:r>
      <w:r>
        <w:rPr>
          <w:rStyle w:val="OperatorTok"/>
        </w:rPr>
        <w:t xml:space="preserve">=</w:t>
      </w:r>
      <w:r>
        <w:rPr>
          <w:rStyle w:val="NormalTok"/>
        </w:rPr>
        <w:t xml:space="preserve"> nx.path_weight(G, path, weight </w:t>
      </w:r>
      <w:r>
        <w:rPr>
          <w:rStyle w:val="OperatorTok"/>
        </w:rPr>
        <w:t xml:space="preserve">=</w:t>
      </w:r>
      <w:r>
        <w:rPr>
          <w:rStyle w:val="NormalTok"/>
        </w:rPr>
        <w:t xml:space="preserve"> </w:t>
      </w:r>
      <w:r>
        <w:rPr>
          <w:rStyle w:val="StringTok"/>
        </w:rPr>
        <w:t xml:space="preserve">"length"</w:t>
      </w:r>
      <w:r>
        <w:rPr>
          <w:rStyle w:val="NormalTok"/>
        </w:rPr>
        <w:t xml:space="preserve">)</w:t>
      </w:r>
      <w:r>
        <w:br/>
      </w:r>
      <w:r>
        <w:rPr>
          <w:rStyle w:val="NormalTok"/>
        </w:rPr>
        <w:t xml:space="preserve">        </w:t>
      </w:r>
      <w:r>
        <w:rPr>
          <w:rStyle w:val="ControlFlowTok"/>
        </w:rPr>
        <w:t xml:space="preserve">return</w:t>
      </w:r>
      <w:r>
        <w:rPr>
          <w:rStyle w:val="NormalTok"/>
        </w:rPr>
        <w:t xml:space="preserve"> path, cost, dist</w:t>
      </w:r>
      <w:r>
        <w:br/>
      </w:r>
      <w:r>
        <w:rPr>
          <w:rStyle w:val="NormalTok"/>
        </w:rPr>
        <w:t xml:space="preserve">    </w:t>
      </w:r>
      <w:r>
        <w:rPr>
          <w:rStyle w:val="ControlFlowTok"/>
        </w:rPr>
        <w:t xml:space="preserve">except</w:t>
      </w:r>
      <w:r>
        <w:rPr>
          <w:rStyle w:val="NormalTok"/>
        </w:rPr>
        <w:t xml:space="preserve"> nx.NetworkXNoPath: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KeywordTok"/>
        </w:rPr>
        <w:t xml:space="preserve">def</w:t>
      </w:r>
      <w:r>
        <w:rPr>
          <w:rStyle w:val="NormalTok"/>
        </w:rPr>
        <w:t xml:space="preserve"> get_coolest_route(G, start, end):</w:t>
      </w:r>
      <w:r>
        <w:br/>
      </w:r>
      <w:r>
        <w:rPr>
          <w:rStyle w:val="NormalTok"/>
        </w:rPr>
        <w:t xml:space="preserve">    </w:t>
      </w:r>
      <w:r>
        <w:rPr>
          <w:rStyle w:val="CommentTok"/>
        </w:rPr>
        <w:t xml:space="preserve">"""Shortest-ish but biased toward coolest edges."""</w:t>
      </w:r>
      <w:r>
        <w:br/>
      </w:r>
      <w:r>
        <w:rPr>
          <w:rStyle w:val="NormalTok"/>
        </w:rPr>
        <w:t xml:space="preserve">    </w:t>
      </w:r>
      <w:r>
        <w:rPr>
          <w:rStyle w:val="ControlFlowTok"/>
        </w:rPr>
        <w:t xml:space="preserve">try</w:t>
      </w:r>
      <w:r>
        <w:rPr>
          <w:rStyle w:val="NormalTok"/>
        </w:rPr>
        <w:t xml:space="preserve">:</w:t>
      </w:r>
      <w:r>
        <w:br/>
      </w:r>
      <w:r>
        <w:rPr>
          <w:rStyle w:val="NormalTok"/>
        </w:rPr>
        <w:t xml:space="preserve">        path </w:t>
      </w:r>
      <w:r>
        <w:rPr>
          <w:rStyle w:val="OperatorTok"/>
        </w:rPr>
        <w:t xml:space="preserve">=</w:t>
      </w:r>
      <w:r>
        <w:rPr>
          <w:rStyle w:val="NormalTok"/>
        </w:rPr>
        <w:t xml:space="preserve"> nx.dijkstra_path(G, start, end, weight </w:t>
      </w:r>
      <w:r>
        <w:rPr>
          <w:rStyle w:val="OperatorTok"/>
        </w:rPr>
        <w:t xml:space="preserve">=</w:t>
      </w:r>
      <w:r>
        <w:rPr>
          <w:rStyle w:val="NormalTok"/>
        </w:rPr>
        <w:t xml:space="preserve"> </w:t>
      </w:r>
      <w:r>
        <w:rPr>
          <w:rStyle w:val="StringTok"/>
        </w:rPr>
        <w:t xml:space="preserve">"cool_cost"</w:t>
      </w:r>
      <w:r>
        <w:rPr>
          <w:rStyle w:val="NormalTok"/>
        </w:rPr>
        <w:t xml:space="preserve">)</w:t>
      </w:r>
      <w:r>
        <w:br/>
      </w:r>
      <w:r>
        <w:rPr>
          <w:rStyle w:val="NormalTok"/>
        </w:rPr>
        <w:t xml:space="preserve">        cost </w:t>
      </w:r>
      <w:r>
        <w:rPr>
          <w:rStyle w:val="OperatorTok"/>
        </w:rPr>
        <w:t xml:space="preserve">=</w:t>
      </w:r>
      <w:r>
        <w:rPr>
          <w:rStyle w:val="NormalTok"/>
        </w:rPr>
        <w:t xml:space="preserve"> nx.dijkstra_path_length(G, start, end, weight </w:t>
      </w:r>
      <w:r>
        <w:rPr>
          <w:rStyle w:val="OperatorTok"/>
        </w:rPr>
        <w:t xml:space="preserve">=</w:t>
      </w:r>
      <w:r>
        <w:rPr>
          <w:rStyle w:val="NormalTok"/>
        </w:rPr>
        <w:t xml:space="preserve"> </w:t>
      </w:r>
      <w:r>
        <w:rPr>
          <w:rStyle w:val="StringTok"/>
        </w:rPr>
        <w:t xml:space="preserve">"cool_cost"</w:t>
      </w:r>
      <w:r>
        <w:rPr>
          <w:rStyle w:val="NormalTok"/>
        </w:rPr>
        <w:t xml:space="preserve">)</w:t>
      </w:r>
      <w:r>
        <w:br/>
      </w:r>
      <w:r>
        <w:rPr>
          <w:rStyle w:val="NormalTok"/>
        </w:rPr>
        <w:t xml:space="preserve">        dist </w:t>
      </w:r>
      <w:r>
        <w:rPr>
          <w:rStyle w:val="OperatorTok"/>
        </w:rPr>
        <w:t xml:space="preserve">=</w:t>
      </w:r>
      <w:r>
        <w:rPr>
          <w:rStyle w:val="NormalTok"/>
        </w:rPr>
        <w:t xml:space="preserve"> nx.path_weight(G, path, weight </w:t>
      </w:r>
      <w:r>
        <w:rPr>
          <w:rStyle w:val="OperatorTok"/>
        </w:rPr>
        <w:t xml:space="preserve">=</w:t>
      </w:r>
      <w:r>
        <w:rPr>
          <w:rStyle w:val="NormalTok"/>
        </w:rPr>
        <w:t xml:space="preserve"> </w:t>
      </w:r>
      <w:r>
        <w:rPr>
          <w:rStyle w:val="StringTok"/>
        </w:rPr>
        <w:t xml:space="preserve">"length"</w:t>
      </w:r>
      <w:r>
        <w:rPr>
          <w:rStyle w:val="NormalTok"/>
        </w:rPr>
        <w:t xml:space="preserve">)</w:t>
      </w:r>
      <w:r>
        <w:br/>
      </w:r>
      <w:r>
        <w:rPr>
          <w:rStyle w:val="NormalTok"/>
        </w:rPr>
        <w:t xml:space="preserve">        </w:t>
      </w:r>
      <w:r>
        <w:rPr>
          <w:rStyle w:val="ControlFlowTok"/>
        </w:rPr>
        <w:t xml:space="preserve">return</w:t>
      </w:r>
      <w:r>
        <w:rPr>
          <w:rStyle w:val="NormalTok"/>
        </w:rPr>
        <w:t xml:space="preserve"> path, cost, dist</w:t>
      </w:r>
      <w:r>
        <w:br/>
      </w:r>
      <w:r>
        <w:rPr>
          <w:rStyle w:val="NormalTok"/>
        </w:rPr>
        <w:t xml:space="preserve">    </w:t>
      </w:r>
      <w:r>
        <w:rPr>
          <w:rStyle w:val="ControlFlowTok"/>
        </w:rPr>
        <w:t xml:space="preserve">except</w:t>
      </w:r>
      <w:r>
        <w:rPr>
          <w:rStyle w:val="NormalTok"/>
        </w:rPr>
        <w:t xml:space="preserve"> nx.NetworkXNoPath: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KeywordTok"/>
        </w:rPr>
        <w:t xml:space="preserve">def</w:t>
      </w:r>
      <w:r>
        <w:rPr>
          <w:rStyle w:val="NormalTok"/>
        </w:rPr>
        <w:t xml:space="preserve"> get_shortest_route(G, start, end):</w:t>
      </w:r>
      <w:r>
        <w:br/>
      </w:r>
      <w:r>
        <w:rPr>
          <w:rStyle w:val="NormalTok"/>
        </w:rPr>
        <w:t xml:space="preserve">    </w:t>
      </w:r>
      <w:r>
        <w:rPr>
          <w:rStyle w:val="CommentTok"/>
        </w:rPr>
        <w:t xml:space="preserve">"""</w:t>
      </w:r>
      <w:r>
        <w:br/>
      </w:r>
      <w:r>
        <w:rPr>
          <w:rStyle w:val="CommentTok"/>
        </w:rPr>
        <w:t xml:space="preserve">    Returns shortest walking path.</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path </w:t>
      </w:r>
      <w:r>
        <w:rPr>
          <w:rStyle w:val="OperatorTok"/>
        </w:rPr>
        <w:t xml:space="preserve">=</w:t>
      </w:r>
      <w:r>
        <w:rPr>
          <w:rStyle w:val="NormalTok"/>
        </w:rPr>
        <w:t xml:space="preserve"> nx.shortest_path(G, start, end, weight </w:t>
      </w:r>
      <w:r>
        <w:rPr>
          <w:rStyle w:val="OperatorTok"/>
        </w:rPr>
        <w:t xml:space="preserve">=</w:t>
      </w:r>
      <w:r>
        <w:rPr>
          <w:rStyle w:val="NormalTok"/>
        </w:rPr>
        <w:t xml:space="preserve"> </w:t>
      </w:r>
      <w:r>
        <w:rPr>
          <w:rStyle w:val="StringTok"/>
        </w:rPr>
        <w:t xml:space="preserve">"length"</w:t>
      </w:r>
      <w:r>
        <w:rPr>
          <w:rStyle w:val="NormalTok"/>
        </w:rPr>
        <w:t xml:space="preserve">)</w:t>
      </w:r>
      <w:r>
        <w:br/>
      </w:r>
      <w:r>
        <w:rPr>
          <w:rStyle w:val="NormalTok"/>
        </w:rPr>
        <w:t xml:space="preserve">        dist </w:t>
      </w:r>
      <w:r>
        <w:rPr>
          <w:rStyle w:val="OperatorTok"/>
        </w:rPr>
        <w:t xml:space="preserve">=</w:t>
      </w:r>
      <w:r>
        <w:rPr>
          <w:rStyle w:val="NormalTok"/>
        </w:rPr>
        <w:t xml:space="preserve"> nx.path_weight(G, path, weight </w:t>
      </w:r>
      <w:r>
        <w:rPr>
          <w:rStyle w:val="OperatorTok"/>
        </w:rPr>
        <w:t xml:space="preserve">=</w:t>
      </w:r>
      <w:r>
        <w:rPr>
          <w:rStyle w:val="NormalTok"/>
        </w:rPr>
        <w:t xml:space="preserve"> </w:t>
      </w:r>
      <w:r>
        <w:rPr>
          <w:rStyle w:val="StringTok"/>
        </w:rPr>
        <w:t xml:space="preserve">"length"</w:t>
      </w:r>
      <w:r>
        <w:rPr>
          <w:rStyle w:val="NormalTok"/>
        </w:rPr>
        <w:t xml:space="preserve">)</w:t>
      </w:r>
      <w:r>
        <w:br/>
      </w:r>
      <w:r>
        <w:rPr>
          <w:rStyle w:val="NormalTok"/>
        </w:rPr>
        <w:t xml:space="preserve">        </w:t>
      </w:r>
      <w:r>
        <w:rPr>
          <w:rStyle w:val="ControlFlowTok"/>
        </w:rPr>
        <w:t xml:space="preserve">return</w:t>
      </w:r>
      <w:r>
        <w:rPr>
          <w:rStyle w:val="NormalTok"/>
        </w:rPr>
        <w:t xml:space="preserve"> path, dist</w:t>
      </w:r>
      <w:r>
        <w:br/>
      </w:r>
      <w:r>
        <w:rPr>
          <w:rStyle w:val="NormalTok"/>
        </w:rPr>
        <w:t xml:space="preserve">    </w:t>
      </w:r>
      <w:r>
        <w:rPr>
          <w:rStyle w:val="ControlFlowTok"/>
        </w:rPr>
        <w:t xml:space="preserve">except</w:t>
      </w:r>
      <w:r>
        <w:rPr>
          <w:rStyle w:val="NormalTok"/>
        </w:rPr>
        <w:t xml:space="preserve"> nx.NetworkXNoPath: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p>
    <w:bookmarkEnd w:id="42"/>
    <w:bookmarkEnd w:id="43"/>
    <w:bookmarkStart w:id="69" w:name="iv.-results"/>
    <w:p>
      <w:pPr>
        <w:pStyle w:val="Heading1"/>
      </w:pPr>
      <w:r>
        <w:t xml:space="preserve">IV. Results</w:t>
      </w:r>
    </w:p>
    <w:bookmarkStart w:id="44" w:name="model-performance"/>
    <w:p>
      <w:pPr>
        <w:pStyle w:val="Heading2"/>
      </w:pPr>
      <w:r>
        <w:t xml:space="preserve">Model Performance</w:t>
      </w:r>
    </w:p>
    <w:p>
      <w:pPr>
        <w:pStyle w:val="TableCaption"/>
      </w:pPr>
      <w:r>
        <w:t xml:space="preserve">Full Model Cross-Validation Results</w:t>
      </w:r>
    </w:p>
    <w:tbl>
      <w:tblPr>
        <w:tblStyle w:val="Table"/>
        <w:tblW w:type="auto" w:w="0"/>
        <w:tblLook w:firstRow="1" w:lastRow="0" w:firstColumn="0" w:lastColumn="0" w:noHBand="0" w:noVBand="0" w:val="0020"/>
        <w:tblCaption w:val="Full Model Cross-Validation Results"/>
      </w:tblPr>
      <w:tblGrid>
        <w:gridCol w:w="2640"/>
        <w:gridCol w:w="2640"/>
        <w:gridCol w:w="2640"/>
      </w:tblGrid>
      <w:tr>
        <w:trPr>
          <w:tblHeader w:val="on"/>
        </w:trPr>
        <w:tc>
          <w:tcPr/>
          <w:p>
            <w:pPr>
              <w:pStyle w:val="Compact"/>
            </w:pPr>
            <w:r>
              <w:t xml:space="preserve">Statistic</w:t>
            </w:r>
          </w:p>
        </w:tc>
        <w:tc>
          <w:tcPr/>
          <w:p>
            <w:pPr>
              <w:pStyle w:val="Compact"/>
            </w:pPr>
            <w:r>
              <w:t xml:space="preserve">Value</w:t>
            </w:r>
          </w:p>
        </w:tc>
        <w:tc>
          <w:tcPr/>
          <w:p>
            <w:pPr>
              <w:pStyle w:val="Compact"/>
            </w:pPr>
            <w:r>
              <w:t xml:space="preserve">Error</w:t>
            </w:r>
          </w:p>
        </w:tc>
      </w:tr>
      <w:tr>
        <w:tc>
          <w:tcPr/>
          <w:p>
            <w:pPr>
              <w:pStyle w:val="Compact"/>
            </w:pPr>
            <w:r>
              <w:t xml:space="preserve">RMSE</w:t>
            </w:r>
          </w:p>
        </w:tc>
        <w:tc>
          <w:tcPr/>
          <w:p>
            <w:pPr>
              <w:pStyle w:val="Compact"/>
            </w:pPr>
            <w:r>
              <w:t xml:space="preserve">0.7001</w:t>
            </w:r>
          </w:p>
        </w:tc>
        <w:tc>
          <w:tcPr/>
          <w:p>
            <w:pPr>
              <w:pStyle w:val="Compact"/>
            </w:pPr>
            <w:r>
              <w:t xml:space="preserve">0.0115</w:t>
            </w:r>
          </w:p>
        </w:tc>
      </w:tr>
      <w:tr>
        <w:tc>
          <w:tcPr/>
          <w:p>
            <w:pPr>
              <w:pStyle w:val="Compact"/>
            </w:pPr>
            <w:r>
              <w:t xml:space="preserve">R²</w:t>
            </w:r>
          </w:p>
        </w:tc>
        <w:tc>
          <w:tcPr/>
          <w:p>
            <w:pPr>
              <w:pStyle w:val="Compact"/>
            </w:pPr>
            <w:r>
              <w:t xml:space="preserve">0.7959</w:t>
            </w:r>
          </w:p>
        </w:tc>
        <w:tc>
          <w:tcPr/>
          <w:p>
            <w:pPr>
              <w:pStyle w:val="Compact"/>
            </w:pPr>
            <w:r>
              <w:t xml:space="preserve">0.0089</w:t>
            </w:r>
          </w:p>
        </w:tc>
      </w:tr>
      <w:tr>
        <w:tc>
          <w:tcPr/>
          <w:p>
            <w:pPr>
              <w:pStyle w:val="Compact"/>
            </w:pPr>
            <w:r>
              <w:t xml:space="preserve">MAE</w:t>
            </w:r>
          </w:p>
        </w:tc>
        <w:tc>
          <w:tcPr/>
          <w:p>
            <w:pPr>
              <w:pStyle w:val="Compact"/>
            </w:pPr>
            <w:r>
              <w:t xml:space="preserve">0.5106</w:t>
            </w:r>
          </w:p>
        </w:tc>
        <w:tc>
          <w:tcPr/>
          <w:p>
            <w:pPr>
              <w:pStyle w:val="Compact"/>
            </w:pPr>
            <w:r>
              <w:t xml:space="preserve">0.0103</w:t>
            </w:r>
          </w:p>
        </w:tc>
      </w:tr>
    </w:tbl>
    <w:p>
      <w:pPr>
        <w:pStyle w:val="BodyText"/>
      </w:pPr>
      <w:r>
        <w:t xml:space="preserve"> </w:t>
      </w:r>
    </w:p>
    <w:p>
      <w:pPr>
        <w:pStyle w:val="TableCaption"/>
      </w:pPr>
      <w:r>
        <w:t xml:space="preserve">Shared Model Cross-Validation Results</w:t>
      </w:r>
    </w:p>
    <w:tbl>
      <w:tblPr>
        <w:tblStyle w:val="Table"/>
        <w:tblW w:type="auto" w:w="0"/>
        <w:tblLook w:firstRow="1" w:lastRow="0" w:firstColumn="0" w:lastColumn="0" w:noHBand="0" w:noVBand="0" w:val="0020"/>
        <w:tblCaption w:val="Shared Model Cross-Validation Results"/>
      </w:tblPr>
      <w:tblGrid>
        <w:gridCol w:w="2640"/>
        <w:gridCol w:w="2640"/>
        <w:gridCol w:w="2640"/>
      </w:tblGrid>
      <w:tr>
        <w:trPr>
          <w:tblHeader w:val="on"/>
        </w:trPr>
        <w:tc>
          <w:tcPr/>
          <w:p>
            <w:pPr>
              <w:pStyle w:val="Compact"/>
            </w:pPr>
            <w:r>
              <w:t xml:space="preserve">Statistic</w:t>
            </w:r>
          </w:p>
        </w:tc>
        <w:tc>
          <w:tcPr/>
          <w:p>
            <w:pPr>
              <w:pStyle w:val="Compact"/>
            </w:pPr>
            <w:r>
              <w:t xml:space="preserve">Value</w:t>
            </w:r>
          </w:p>
        </w:tc>
        <w:tc>
          <w:tcPr/>
          <w:p>
            <w:pPr>
              <w:pStyle w:val="Compact"/>
            </w:pPr>
            <w:r>
              <w:t xml:space="preserve">Error</w:t>
            </w:r>
          </w:p>
        </w:tc>
      </w:tr>
      <w:tr>
        <w:tc>
          <w:tcPr/>
          <w:p>
            <w:pPr>
              <w:pStyle w:val="Compact"/>
            </w:pPr>
            <w:r>
              <w:t xml:space="preserve">RMSE</w:t>
            </w:r>
          </w:p>
        </w:tc>
        <w:tc>
          <w:tcPr/>
          <w:p>
            <w:pPr>
              <w:pStyle w:val="Compact"/>
            </w:pPr>
            <w:r>
              <w:t xml:space="preserve">0.7117</w:t>
            </w:r>
          </w:p>
        </w:tc>
        <w:tc>
          <w:tcPr/>
          <w:p>
            <w:pPr>
              <w:pStyle w:val="Compact"/>
            </w:pPr>
            <w:r>
              <w:t xml:space="preserve">0.0173</w:t>
            </w:r>
          </w:p>
        </w:tc>
      </w:tr>
      <w:tr>
        <w:tc>
          <w:tcPr/>
          <w:p>
            <w:pPr>
              <w:pStyle w:val="Compact"/>
            </w:pPr>
            <w:r>
              <w:t xml:space="preserve">R²</w:t>
            </w:r>
          </w:p>
        </w:tc>
        <w:tc>
          <w:tcPr/>
          <w:p>
            <w:pPr>
              <w:pStyle w:val="Compact"/>
            </w:pPr>
            <w:r>
              <w:t xml:space="preserve">0.7892</w:t>
            </w:r>
          </w:p>
        </w:tc>
        <w:tc>
          <w:tcPr/>
          <w:p>
            <w:pPr>
              <w:pStyle w:val="Compact"/>
            </w:pPr>
            <w:r>
              <w:t xml:space="preserve">0.0083</w:t>
            </w:r>
          </w:p>
        </w:tc>
      </w:tr>
      <w:tr>
        <w:tc>
          <w:tcPr/>
          <w:p>
            <w:pPr>
              <w:pStyle w:val="Compact"/>
            </w:pPr>
            <w:r>
              <w:t xml:space="preserve">MAE</w:t>
            </w:r>
          </w:p>
        </w:tc>
        <w:tc>
          <w:tcPr/>
          <w:p>
            <w:pPr>
              <w:pStyle w:val="Compact"/>
            </w:pPr>
            <w:r>
              <w:t xml:space="preserve">0.5105</w:t>
            </w:r>
          </w:p>
        </w:tc>
        <w:tc>
          <w:tcPr/>
          <w:p>
            <w:pPr>
              <w:pStyle w:val="Compact"/>
            </w:pPr>
            <w:r>
              <w:t xml:space="preserve">0.0141</w:t>
            </w:r>
          </w:p>
        </w:tc>
      </w:tr>
    </w:tbl>
    <w:p>
      <w:pPr>
        <w:pStyle w:val="BodyText"/>
      </w:pPr>
      <w:r>
        <w:t xml:space="preserve">The difference between the two models is marginal, with a 0.0116 change in RMSE, 0.0067 change in R², and 0.0001 change in MAE. The shared model has a slight degradation compared to the full model, suggesting that GSV provides micro-scale refinement.</w:t>
      </w:r>
    </w:p>
    <w:bookmarkEnd w:id="44"/>
    <w:bookmarkStart w:id="45" w:name="feature-importance"/>
    <w:p>
      <w:pPr>
        <w:pStyle w:val="Heading2"/>
      </w:pPr>
      <w:r>
        <w:t xml:space="preserve">Feature Importance</w:t>
      </w:r>
    </w:p>
    <w:p>
      <w:pPr>
        <w:pStyle w:val="TableCaption"/>
      </w:pPr>
      <w:r>
        <w:t xml:space="preserve">Full Model Feature Importance</w:t>
      </w:r>
    </w:p>
    <w:tbl>
      <w:tblPr>
        <w:tblStyle w:val="Table"/>
        <w:tblW w:type="auto" w:w="0"/>
        <w:tblLook w:firstRow="1" w:lastRow="0" w:firstColumn="0" w:lastColumn="0" w:noHBand="0" w:noVBand="0" w:val="0020"/>
        <w:tblCaption w:val="Full Model Feature Importance"/>
      </w:tblPr>
      <w:tblGrid>
        <w:gridCol w:w="3960"/>
        <w:gridCol w:w="3960"/>
      </w:tblGrid>
      <w:tr>
        <w:trPr>
          <w:tblHeader w:val="on"/>
        </w:trPr>
        <w:tc>
          <w:tcPr/>
          <w:p>
            <w:pPr>
              <w:pStyle w:val="Compact"/>
            </w:pPr>
            <w:r>
              <w:rPr>
                <w:b/>
                <w:bCs/>
              </w:rPr>
              <w:t xml:space="preserve">Feature</w:t>
            </w:r>
          </w:p>
        </w:tc>
        <w:tc>
          <w:tcPr/>
          <w:p>
            <w:pPr>
              <w:pStyle w:val="Compact"/>
            </w:pPr>
            <w:r>
              <w:rPr>
                <w:b/>
                <w:bCs/>
              </w:rPr>
              <w:t xml:space="preserve">Importance</w:t>
            </w:r>
          </w:p>
        </w:tc>
      </w:tr>
      <w:tr>
        <w:tc>
          <w:tcPr/>
          <w:p>
            <w:pPr>
              <w:pStyle w:val="Compact"/>
            </w:pPr>
            <w:r>
              <w:t xml:space="preserve">emissivity</w:t>
            </w:r>
          </w:p>
        </w:tc>
        <w:tc>
          <w:tcPr/>
          <w:p>
            <w:pPr>
              <w:pStyle w:val="Compact"/>
            </w:pPr>
            <w:r>
              <w:t xml:space="preserve">0.2314</w:t>
            </w:r>
          </w:p>
        </w:tc>
      </w:tr>
      <w:tr>
        <w:tc>
          <w:tcPr/>
          <w:p>
            <w:pPr>
              <w:pStyle w:val="Compact"/>
            </w:pPr>
            <w:r>
              <w:t xml:space="preserve">ndvi</w:t>
            </w:r>
          </w:p>
        </w:tc>
        <w:tc>
          <w:tcPr/>
          <w:p>
            <w:pPr>
              <w:pStyle w:val="Compact"/>
            </w:pPr>
            <w:r>
              <w:t xml:space="preserve">0.2167</w:t>
            </w:r>
          </w:p>
        </w:tc>
      </w:tr>
      <w:tr>
        <w:tc>
          <w:tcPr/>
          <w:p>
            <w:pPr>
              <w:pStyle w:val="Compact"/>
            </w:pPr>
            <w:r>
              <w:t xml:space="preserve">landcover_class</w:t>
            </w:r>
          </w:p>
        </w:tc>
        <w:tc>
          <w:tcPr/>
          <w:p>
            <w:pPr>
              <w:pStyle w:val="Compact"/>
            </w:pPr>
            <w:r>
              <w:t xml:space="preserve">0.1979</w:t>
            </w:r>
          </w:p>
        </w:tc>
      </w:tr>
      <w:tr>
        <w:tc>
          <w:tcPr/>
          <w:p>
            <w:pPr>
              <w:pStyle w:val="Compact"/>
            </w:pPr>
            <w:r>
              <w:t xml:space="preserve">elevation_m</w:t>
            </w:r>
          </w:p>
        </w:tc>
        <w:tc>
          <w:tcPr/>
          <w:p>
            <w:pPr>
              <w:pStyle w:val="Compact"/>
            </w:pPr>
            <w:r>
              <w:t xml:space="preserve">0.0486</w:t>
            </w:r>
          </w:p>
        </w:tc>
      </w:tr>
      <w:tr>
        <w:tc>
          <w:tcPr/>
          <w:p>
            <w:pPr>
              <w:pStyle w:val="Compact"/>
            </w:pPr>
            <w:r>
              <w:t xml:space="preserve">pct_vegetation</w:t>
            </w:r>
          </w:p>
        </w:tc>
        <w:tc>
          <w:tcPr/>
          <w:p>
            <w:pPr>
              <w:pStyle w:val="Compact"/>
            </w:pPr>
            <w:r>
              <w:t xml:space="preserve">0.0416</w:t>
            </w:r>
          </w:p>
        </w:tc>
      </w:tr>
      <w:tr>
        <w:tc>
          <w:tcPr/>
          <w:p>
            <w:pPr>
              <w:pStyle w:val="Compact"/>
            </w:pPr>
            <w:r>
              <w:t xml:space="preserve">svi</w:t>
            </w:r>
          </w:p>
        </w:tc>
        <w:tc>
          <w:tcPr/>
          <w:p>
            <w:pPr>
              <w:pStyle w:val="Compact"/>
            </w:pPr>
            <w:r>
              <w:t xml:space="preserve">0.0359</w:t>
            </w:r>
          </w:p>
        </w:tc>
      </w:tr>
      <w:tr>
        <w:tc>
          <w:tcPr/>
          <w:p>
            <w:pPr>
              <w:pStyle w:val="Compact"/>
            </w:pPr>
            <w:r>
              <w:t xml:space="preserve">sky_view_factor</w:t>
            </w:r>
          </w:p>
        </w:tc>
        <w:tc>
          <w:tcPr/>
          <w:p>
            <w:pPr>
              <w:pStyle w:val="Compact"/>
            </w:pPr>
            <w:r>
              <w:t xml:space="preserve">0.0270</w:t>
            </w:r>
          </w:p>
        </w:tc>
      </w:tr>
      <w:tr>
        <w:tc>
          <w:tcPr/>
          <w:p>
            <w:pPr>
              <w:pStyle w:val="Compact"/>
            </w:pPr>
            <w:r>
              <w:t xml:space="preserve">pct_water</w:t>
            </w:r>
          </w:p>
        </w:tc>
        <w:tc>
          <w:tcPr/>
          <w:p>
            <w:pPr>
              <w:pStyle w:val="Compact"/>
            </w:pPr>
            <w:r>
              <w:t xml:space="preserve">0.0256</w:t>
            </w:r>
          </w:p>
        </w:tc>
      </w:tr>
      <w:tr>
        <w:tc>
          <w:tcPr/>
          <w:p>
            <w:pPr>
              <w:pStyle w:val="Compact"/>
            </w:pPr>
            <w:r>
              <w:t xml:space="preserve">palsar_hh_db</w:t>
            </w:r>
          </w:p>
        </w:tc>
        <w:tc>
          <w:tcPr/>
          <w:p>
            <w:pPr>
              <w:pStyle w:val="Compact"/>
            </w:pPr>
            <w:r>
              <w:t xml:space="preserve">0.0244</w:t>
            </w:r>
          </w:p>
        </w:tc>
      </w:tr>
      <w:tr>
        <w:tc>
          <w:tcPr/>
          <w:p>
            <w:pPr>
              <w:pStyle w:val="Compact"/>
            </w:pPr>
            <w:r>
              <w:t xml:space="preserve">gvi</w:t>
            </w:r>
          </w:p>
        </w:tc>
        <w:tc>
          <w:tcPr/>
          <w:p>
            <w:pPr>
              <w:pStyle w:val="Compact"/>
            </w:pPr>
            <w:r>
              <w:t xml:space="preserve">0.0244</w:t>
            </w:r>
          </w:p>
        </w:tc>
      </w:tr>
    </w:tbl>
    <w:p>
      <w:pPr>
        <w:pStyle w:val="BodyText"/>
      </w:pPr>
      <w:r>
        <w:t xml:space="preserve"> </w:t>
      </w:r>
    </w:p>
    <w:p>
      <w:pPr>
        <w:pStyle w:val="TableCaption"/>
      </w:pPr>
      <w:r>
        <w:t xml:space="preserve">Shared Model Feature Importance</w:t>
      </w:r>
    </w:p>
    <w:tbl>
      <w:tblPr>
        <w:tblStyle w:val="Table"/>
        <w:tblW w:type="auto" w:w="0"/>
        <w:tblLook w:firstRow="1" w:lastRow="0" w:firstColumn="0" w:lastColumn="0" w:noHBand="0" w:noVBand="0" w:val="0020"/>
        <w:tblCaption w:val="Shared Model Feature Importance"/>
      </w:tblPr>
      <w:tblGrid>
        <w:gridCol w:w="3960"/>
        <w:gridCol w:w="3960"/>
      </w:tblGrid>
      <w:tr>
        <w:trPr>
          <w:tblHeader w:val="on"/>
        </w:trPr>
        <w:tc>
          <w:tcPr/>
          <w:p>
            <w:pPr>
              <w:pStyle w:val="Compact"/>
            </w:pPr>
            <w:r>
              <w:rPr>
                <w:b/>
                <w:bCs/>
              </w:rPr>
              <w:t xml:space="preserve">Feature</w:t>
            </w:r>
          </w:p>
        </w:tc>
        <w:tc>
          <w:tcPr/>
          <w:p>
            <w:pPr>
              <w:pStyle w:val="Compact"/>
            </w:pPr>
            <w:r>
              <w:rPr>
                <w:b/>
                <w:bCs/>
              </w:rPr>
              <w:t xml:space="preserve">Importance</w:t>
            </w:r>
          </w:p>
        </w:tc>
      </w:tr>
      <w:tr>
        <w:tc>
          <w:tcPr/>
          <w:p>
            <w:pPr>
              <w:pStyle w:val="Compact"/>
            </w:pPr>
            <w:r>
              <w:t xml:space="preserve">emissivity</w:t>
            </w:r>
          </w:p>
        </w:tc>
        <w:tc>
          <w:tcPr/>
          <w:p>
            <w:pPr>
              <w:pStyle w:val="Compact"/>
            </w:pPr>
            <w:r>
              <w:t xml:space="preserve">0.2314</w:t>
            </w:r>
          </w:p>
        </w:tc>
      </w:tr>
      <w:tr>
        <w:tc>
          <w:tcPr/>
          <w:p>
            <w:pPr>
              <w:pStyle w:val="Compact"/>
            </w:pPr>
            <w:r>
              <w:t xml:space="preserve">landcover_class</w:t>
            </w:r>
          </w:p>
        </w:tc>
        <w:tc>
          <w:tcPr/>
          <w:p>
            <w:pPr>
              <w:pStyle w:val="Compact"/>
            </w:pPr>
            <w:r>
              <w:t xml:space="preserve">0.2167</w:t>
            </w:r>
          </w:p>
        </w:tc>
      </w:tr>
      <w:tr>
        <w:tc>
          <w:tcPr/>
          <w:p>
            <w:pPr>
              <w:pStyle w:val="Compact"/>
            </w:pPr>
            <w:r>
              <w:t xml:space="preserve">ndvi</w:t>
            </w:r>
          </w:p>
        </w:tc>
        <w:tc>
          <w:tcPr/>
          <w:p>
            <w:pPr>
              <w:pStyle w:val="Compact"/>
            </w:pPr>
            <w:r>
              <w:t xml:space="preserve">0.1979</w:t>
            </w:r>
          </w:p>
        </w:tc>
      </w:tr>
      <w:tr>
        <w:tc>
          <w:tcPr/>
          <w:p>
            <w:pPr>
              <w:pStyle w:val="Compact"/>
            </w:pPr>
            <w:r>
              <w:t xml:space="preserve">elevation_m</w:t>
            </w:r>
          </w:p>
        </w:tc>
        <w:tc>
          <w:tcPr/>
          <w:p>
            <w:pPr>
              <w:pStyle w:val="Compact"/>
            </w:pPr>
            <w:r>
              <w:t xml:space="preserve">0.0486</w:t>
            </w:r>
          </w:p>
        </w:tc>
      </w:tr>
      <w:tr>
        <w:tc>
          <w:tcPr/>
          <w:p>
            <w:pPr>
              <w:pStyle w:val="Compact"/>
            </w:pPr>
            <w:r>
              <w:t xml:space="preserve">sky_view_factor</w:t>
            </w:r>
          </w:p>
        </w:tc>
        <w:tc>
          <w:tcPr/>
          <w:p>
            <w:pPr>
              <w:pStyle w:val="Compact"/>
            </w:pPr>
            <w:r>
              <w:t xml:space="preserve">0.0416</w:t>
            </w:r>
          </w:p>
        </w:tc>
      </w:tr>
      <w:tr>
        <w:tc>
          <w:tcPr/>
          <w:p>
            <w:pPr>
              <w:pStyle w:val="Compact"/>
            </w:pPr>
            <w:r>
              <w:t xml:space="preserve">palsar_hv_db</w:t>
            </w:r>
          </w:p>
        </w:tc>
        <w:tc>
          <w:tcPr/>
          <w:p>
            <w:pPr>
              <w:pStyle w:val="Compact"/>
            </w:pPr>
            <w:r>
              <w:t xml:space="preserve">0.0359</w:t>
            </w:r>
          </w:p>
        </w:tc>
      </w:tr>
      <w:tr>
        <w:tc>
          <w:tcPr/>
          <w:p>
            <w:pPr>
              <w:pStyle w:val="Compact"/>
            </w:pPr>
            <w:r>
              <w:t xml:space="preserve">palsar_hh_db</w:t>
            </w:r>
          </w:p>
        </w:tc>
        <w:tc>
          <w:tcPr/>
          <w:p>
            <w:pPr>
              <w:pStyle w:val="Compact"/>
            </w:pPr>
            <w:r>
              <w:t xml:space="preserve">0.0270</w:t>
            </w:r>
          </w:p>
        </w:tc>
      </w:tr>
      <w:tr>
        <w:tc>
          <w:tcPr/>
          <w:p>
            <w:pPr>
              <w:pStyle w:val="Compact"/>
            </w:pPr>
            <w:r>
              <w:t xml:space="preserve">palsar_glcm_contrast</w:t>
            </w:r>
          </w:p>
        </w:tc>
        <w:tc>
          <w:tcPr/>
          <w:p>
            <w:pPr>
              <w:pStyle w:val="Compact"/>
            </w:pPr>
            <w:r>
              <w:t xml:space="preserve">0.0256</w:t>
            </w:r>
          </w:p>
        </w:tc>
      </w:tr>
      <w:tr>
        <w:tc>
          <w:tcPr/>
          <w:p>
            <w:pPr>
              <w:pStyle w:val="Compact"/>
            </w:pPr>
            <w:r>
              <w:t xml:space="preserve">palsar_hv_hh_ratio</w:t>
            </w:r>
          </w:p>
        </w:tc>
        <w:tc>
          <w:tcPr/>
          <w:p>
            <w:pPr>
              <w:pStyle w:val="Compact"/>
            </w:pPr>
            <w:r>
              <w:t xml:space="preserve">0.0244</w:t>
            </w:r>
          </w:p>
        </w:tc>
      </w:tr>
      <w:tr>
        <w:tc>
          <w:tcPr/>
          <w:p>
            <w:pPr>
              <w:pStyle w:val="Compact"/>
            </w:pPr>
            <w:r>
              <w:t xml:space="preserve">palsar_glcm_homogeneity</w:t>
            </w:r>
          </w:p>
        </w:tc>
        <w:tc>
          <w:tcPr/>
          <w:p>
            <w:pPr>
              <w:pStyle w:val="Compact"/>
            </w:pPr>
            <w:r>
              <w:t xml:space="preserve">0.0244</w:t>
            </w:r>
          </w:p>
        </w:tc>
      </w:tr>
    </w:tbl>
    <w:p>
      <w:pPr>
        <w:pStyle w:val="BodyText"/>
      </w:pPr>
      <w:r>
        <w:t xml:space="preserve">The dominant predictors were consistent across both models. Emissivity, NDVI, and land cover class ranked highest, followed by elevation and SAR-derived structure (HH/HV backscatter and GLCM texture). In the full model, streetscape variables (e.g. vegetation and sky-related measures) contributed additional explanatory signal.</w:t>
      </w:r>
    </w:p>
    <w:bookmarkEnd w:id="45"/>
    <w:bookmarkStart w:id="58" w:name="node-prediction-coverage"/>
    <w:p>
      <w:pPr>
        <w:pStyle w:val="Heading2"/>
      </w:pPr>
      <w:r>
        <w:t xml:space="preserve">Node Prediction Coverage</w:t>
      </w:r>
    </w:p>
    <w:p>
      <w:pPr>
        <w:pStyle w:val="TableCaption"/>
      </w:pPr>
      <w:r>
        <w:t xml:space="preserve">LST Prediction Statistics</w:t>
      </w:r>
    </w:p>
    <w:tbl>
      <w:tblPr>
        <w:tblStyle w:val="Table"/>
        <w:tblW w:type="auto" w:w="0"/>
        <w:tblLook w:firstRow="1" w:lastRow="0" w:firstColumn="0" w:lastColumn="0" w:noHBand="0" w:noVBand="0" w:val="0020"/>
        <w:tblCaption w:val="LST Prediction Statistics"/>
      </w:tblPr>
      <w:tblGrid>
        <w:gridCol w:w="1980"/>
        <w:gridCol w:w="1980"/>
        <w:gridCol w:w="1980"/>
        <w:gridCol w:w="1980"/>
      </w:tblGrid>
      <w:tr>
        <w:trPr>
          <w:tblHeader w:val="on"/>
        </w:trPr>
        <w:tc>
          <w:tcPr/>
          <w:p>
            <w:pPr>
              <w:pStyle w:val="Compact"/>
            </w:pPr>
            <w:r>
              <w:t xml:space="preserve">Minimum</w:t>
            </w:r>
          </w:p>
        </w:tc>
        <w:tc>
          <w:tcPr/>
          <w:p>
            <w:pPr>
              <w:pStyle w:val="Compact"/>
            </w:pPr>
            <w:r>
              <w:t xml:space="preserve">Mean</w:t>
            </w:r>
          </w:p>
        </w:tc>
        <w:tc>
          <w:tcPr/>
          <w:p>
            <w:pPr>
              <w:pStyle w:val="Compact"/>
            </w:pPr>
            <w:r>
              <w:t xml:space="preserve">Maximum</w:t>
            </w:r>
          </w:p>
        </w:tc>
        <w:tc>
          <w:tcPr/>
          <w:p>
            <w:pPr>
              <w:pStyle w:val="Compact"/>
            </w:pPr>
            <w:r>
              <w:t xml:space="preserve">Standard Deviation</w:t>
            </w:r>
          </w:p>
        </w:tc>
      </w:tr>
      <w:tr>
        <w:tc>
          <w:tcPr/>
          <w:p>
            <w:pPr>
              <w:pStyle w:val="Compact"/>
            </w:pPr>
            <w:r>
              <w:t xml:space="preserve">35.44°C</w:t>
            </w:r>
          </w:p>
        </w:tc>
        <w:tc>
          <w:tcPr/>
          <w:p>
            <w:pPr>
              <w:pStyle w:val="Compact"/>
            </w:pPr>
            <w:r>
              <w:t xml:space="preserve">40.84°C</w:t>
            </w:r>
          </w:p>
        </w:tc>
        <w:tc>
          <w:tcPr/>
          <w:p>
            <w:pPr>
              <w:pStyle w:val="Compact"/>
            </w:pPr>
            <w:r>
              <w:t xml:space="preserve">46.28°C</w:t>
            </w:r>
          </w:p>
        </w:tc>
        <w:tc>
          <w:tcPr/>
          <w:p>
            <w:pPr>
              <w:pStyle w:val="Compact"/>
            </w:pPr>
            <w:r>
              <w:t xml:space="preserve">1.76°C</w:t>
            </w:r>
          </w:p>
        </w:tc>
      </w:tr>
    </w:tbl>
    <w:p>
      <w:pPr>
        <w:pStyle w:val="CaptionedFigure"/>
      </w:pPr>
      <w:r>
        <w:drawing>
          <wp:inline>
            <wp:extent cx="5334000" cy="1881684"/>
            <wp:effectExtent b="0" l="0" r="0" t="0"/>
            <wp:docPr descr="LST Predictions Scatter Plot" title="" id="47" name="Picture"/>
            <a:graphic>
              <a:graphicData uri="http://schemas.openxmlformats.org/drawingml/2006/picture">
                <pic:pic>
                  <pic:nvPicPr>
                    <pic:cNvPr descr="images/LST_predictions.png" id="48" name="Picture"/>
                    <pic:cNvPicPr>
                      <a:picLocks noChangeArrowheads="1" noChangeAspect="1"/>
                    </pic:cNvPicPr>
                  </pic:nvPicPr>
                  <pic:blipFill>
                    <a:blip r:embed="rId46"/>
                    <a:stretch>
                      <a:fillRect/>
                    </a:stretch>
                  </pic:blipFill>
                  <pic:spPr bwMode="auto">
                    <a:xfrm>
                      <a:off x="0" y="0"/>
                      <a:ext cx="5334000" cy="1881684"/>
                    </a:xfrm>
                    <a:prstGeom prst="rect">
                      <a:avLst/>
                    </a:prstGeom>
                    <a:noFill/>
                    <a:ln w="9525">
                      <a:noFill/>
                      <a:headEnd/>
                      <a:tailEnd/>
                    </a:ln>
                  </pic:spPr>
                </pic:pic>
              </a:graphicData>
            </a:graphic>
          </wp:inline>
        </w:drawing>
      </w:r>
    </w:p>
    <w:p>
      <w:pPr>
        <w:pStyle w:val="ImageCaption"/>
      </w:pPr>
      <w:r>
        <w:t xml:space="preserve">LST Predictions Scatter Plot</w:t>
      </w:r>
    </w:p>
    <w:p>
      <w:pPr>
        <w:pStyle w:val="CaptionedFigure"/>
      </w:pPr>
      <w:r>
        <w:drawing>
          <wp:inline>
            <wp:extent cx="5334000" cy="5334000"/>
            <wp:effectExtent b="0" l="0" r="0" t="0"/>
            <wp:docPr descr="LST Observed vs. Predicted Scatter Plot" title="" id="50" name="Picture"/>
            <a:graphic>
              <a:graphicData uri="http://schemas.openxmlformats.org/drawingml/2006/picture">
                <pic:pic>
                  <pic:nvPicPr>
                    <pic:cNvPr descr="images/LST_observed_predicted.png" id="51" name="Picture"/>
                    <pic:cNvPicPr>
                      <a:picLocks noChangeArrowheads="1" noChangeAspect="1"/>
                    </pic:cNvPicPr>
                  </pic:nvPicPr>
                  <pic:blipFill>
                    <a:blip r:embed="rId4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LST Observed vs. Predicted Scatter Plot</w:t>
      </w:r>
    </w:p>
    <w:p>
      <w:pPr>
        <w:pStyle w:val="CaptionedFigure"/>
      </w:pPr>
      <w:r>
        <w:drawing>
          <wp:inline>
            <wp:extent cx="5334000" cy="1880330"/>
            <wp:effectExtent b="0" l="0" r="0" t="0"/>
            <wp:docPr descr="LST Predicted Map" title="" id="53" name="Picture"/>
            <a:graphic>
              <a:graphicData uri="http://schemas.openxmlformats.org/drawingml/2006/picture">
                <pic:pic>
                  <pic:nvPicPr>
                    <pic:cNvPr descr="images/LST_distribution.png" id="54" name="Picture"/>
                    <pic:cNvPicPr>
                      <a:picLocks noChangeArrowheads="1" noChangeAspect="1"/>
                    </pic:cNvPicPr>
                  </pic:nvPicPr>
                  <pic:blipFill>
                    <a:blip r:embed="rId52"/>
                    <a:stretch>
                      <a:fillRect/>
                    </a:stretch>
                  </pic:blipFill>
                  <pic:spPr bwMode="auto">
                    <a:xfrm>
                      <a:off x="0" y="0"/>
                      <a:ext cx="5334000" cy="1880330"/>
                    </a:xfrm>
                    <a:prstGeom prst="rect">
                      <a:avLst/>
                    </a:prstGeom>
                    <a:noFill/>
                    <a:ln w="9525">
                      <a:noFill/>
                      <a:headEnd/>
                      <a:tailEnd/>
                    </a:ln>
                  </pic:spPr>
                </pic:pic>
              </a:graphicData>
            </a:graphic>
          </wp:inline>
        </w:drawing>
      </w:r>
    </w:p>
    <w:p>
      <w:pPr>
        <w:pStyle w:val="ImageCaption"/>
      </w:pPr>
      <w:r>
        <w:t xml:space="preserve">LST Predicted Map</w:t>
      </w:r>
    </w:p>
    <w:p>
      <w:pPr>
        <w:pStyle w:val="CaptionedFigure"/>
      </w:pPr>
      <w:r>
        <w:drawing>
          <wp:inline>
            <wp:extent cx="5334000" cy="4102119"/>
            <wp:effectExtent b="0" l="0" r="0" t="0"/>
            <wp:docPr descr="LST Predicted Map" title="" id="56" name="Picture"/>
            <a:graphic>
              <a:graphicData uri="http://schemas.openxmlformats.org/drawingml/2006/picture">
                <pic:pic>
                  <pic:nvPicPr>
                    <pic:cNvPr descr="images/LST_predicted_map.png" id="57" name="Picture"/>
                    <pic:cNvPicPr>
                      <a:picLocks noChangeArrowheads="1" noChangeAspect="1"/>
                    </pic:cNvPicPr>
                  </pic:nvPicPr>
                  <pic:blipFill>
                    <a:blip r:embed="rId55"/>
                    <a:stretch>
                      <a:fillRect/>
                    </a:stretch>
                  </pic:blipFill>
                  <pic:spPr bwMode="auto">
                    <a:xfrm>
                      <a:off x="0" y="0"/>
                      <a:ext cx="5334000" cy="4102119"/>
                    </a:xfrm>
                    <a:prstGeom prst="rect">
                      <a:avLst/>
                    </a:prstGeom>
                    <a:noFill/>
                    <a:ln w="9525">
                      <a:noFill/>
                      <a:headEnd/>
                      <a:tailEnd/>
                    </a:ln>
                  </pic:spPr>
                </pic:pic>
              </a:graphicData>
            </a:graphic>
          </wp:inline>
        </w:drawing>
      </w:r>
    </w:p>
    <w:p>
      <w:pPr>
        <w:pStyle w:val="ImageCaption"/>
      </w:pPr>
      <w:r>
        <w:t xml:space="preserve">LST Predicted Map</w:t>
      </w:r>
    </w:p>
    <w:p>
      <w:pPr>
        <w:pStyle w:val="BodyText"/>
      </w:pPr>
      <w:r>
        <w:t xml:space="preserve">When compared against nodes with extracted Landsat LST, performance was lower (RMSE 1.3127, R² 0.5929, MAE 0.8487), likely reflecting scale mismatch between point-linked training data and node-level evaluation plus spatial and sensor aggregation effects.</w:t>
      </w:r>
    </w:p>
    <w:bookmarkEnd w:id="58"/>
    <w:bookmarkStart w:id="68" w:name="routing-outcomes"/>
    <w:p>
      <w:pPr>
        <w:pStyle w:val="Heading2"/>
      </w:pPr>
      <w:r>
        <w:t xml:space="preserve">Routing Outcomes</w:t>
      </w:r>
    </w:p>
    <w:p>
      <w:pPr>
        <w:pStyle w:val="FirstParagraph"/>
      </w:pPr>
      <w:r>
        <w:t xml:space="preserve">The coolest route increases travel distance but reduces both mean and peak exposure, demonstrating tangible potential for heat-resilient mobility guidance.</w:t>
      </w:r>
    </w:p>
    <w:p>
      <w:pPr>
        <w:pStyle w:val="CaptionedFigure"/>
      </w:pPr>
      <w:r>
        <w:drawing>
          <wp:inline>
            <wp:extent cx="5334000" cy="3369350"/>
            <wp:effectExtent b="0" l="0" r="0" t="0"/>
            <wp:docPr descr="Hybrid Cost Surface Raster" title="" id="60" name="Picture"/>
            <a:graphic>
              <a:graphicData uri="http://schemas.openxmlformats.org/drawingml/2006/picture">
                <pic:pic>
                  <pic:nvPicPr>
                    <pic:cNvPr descr="images/hybrid_raster.png" id="61" name="Picture"/>
                    <pic:cNvPicPr>
                      <a:picLocks noChangeArrowheads="1" noChangeAspect="1"/>
                    </pic:cNvPicPr>
                  </pic:nvPicPr>
                  <pic:blipFill>
                    <a:blip r:embed="rId59"/>
                    <a:stretch>
                      <a:fillRect/>
                    </a:stretch>
                  </pic:blipFill>
                  <pic:spPr bwMode="auto">
                    <a:xfrm>
                      <a:off x="0" y="0"/>
                      <a:ext cx="5334000" cy="3369350"/>
                    </a:xfrm>
                    <a:prstGeom prst="rect">
                      <a:avLst/>
                    </a:prstGeom>
                    <a:noFill/>
                    <a:ln w="9525">
                      <a:noFill/>
                      <a:headEnd/>
                      <a:tailEnd/>
                    </a:ln>
                  </pic:spPr>
                </pic:pic>
              </a:graphicData>
            </a:graphic>
          </wp:inline>
        </w:drawing>
      </w:r>
    </w:p>
    <w:p>
      <w:pPr>
        <w:pStyle w:val="ImageCaption"/>
      </w:pPr>
      <w:r>
        <w:t xml:space="preserve">Hybrid Cost Surface Raster</w:t>
      </w:r>
    </w:p>
    <w:p>
      <w:pPr>
        <w:pStyle w:val="CaptionedFigure"/>
      </w:pPr>
      <w:r>
        <w:drawing>
          <wp:inline>
            <wp:extent cx="5334000" cy="3508148"/>
            <wp:effectExtent b="0" l="0" r="0" t="0"/>
            <wp:docPr descr="Dijkstra Routes: Hottest, Coolest, and Shortest" title="" id="63" name="Picture"/>
            <a:graphic>
              <a:graphicData uri="http://schemas.openxmlformats.org/drawingml/2006/picture">
                <pic:pic>
                  <pic:nvPicPr>
                    <pic:cNvPr descr="images/routes.png" id="64" name="Picture"/>
                    <pic:cNvPicPr>
                      <a:picLocks noChangeArrowheads="1" noChangeAspect="1"/>
                    </pic:cNvPicPr>
                  </pic:nvPicPr>
                  <pic:blipFill>
                    <a:blip r:embed="rId62"/>
                    <a:stretch>
                      <a:fillRect/>
                    </a:stretch>
                  </pic:blipFill>
                  <pic:spPr bwMode="auto">
                    <a:xfrm>
                      <a:off x="0" y="0"/>
                      <a:ext cx="5334000" cy="3508148"/>
                    </a:xfrm>
                    <a:prstGeom prst="rect">
                      <a:avLst/>
                    </a:prstGeom>
                    <a:noFill/>
                    <a:ln w="9525">
                      <a:noFill/>
                      <a:headEnd/>
                      <a:tailEnd/>
                    </a:ln>
                  </pic:spPr>
                </pic:pic>
              </a:graphicData>
            </a:graphic>
          </wp:inline>
        </w:drawing>
      </w:r>
    </w:p>
    <w:p>
      <w:pPr>
        <w:pStyle w:val="ImageCaption"/>
      </w:pPr>
      <w:r>
        <w:t xml:space="preserve">Dijkstra Routes: Hottest, Coolest, and Shortest</w:t>
      </w:r>
    </w:p>
    <w:p>
      <w:pPr>
        <w:pStyle w:val="CaptionedFigure"/>
      </w:pPr>
      <w:r>
        <w:drawing>
          <wp:inline>
            <wp:extent cx="5334000" cy="3466809"/>
            <wp:effectExtent b="0" l="0" r="0" t="0"/>
            <wp:docPr descr="Route Map" title="" id="66" name="Picture"/>
            <a:graphic>
              <a:graphicData uri="http://schemas.openxmlformats.org/drawingml/2006/picture">
                <pic:pic>
                  <pic:nvPicPr>
                    <pic:cNvPr descr="images/carto_map.png" id="67" name="Picture"/>
                    <pic:cNvPicPr>
                      <a:picLocks noChangeArrowheads="1" noChangeAspect="1"/>
                    </pic:cNvPicPr>
                  </pic:nvPicPr>
                  <pic:blipFill>
                    <a:blip r:embed="rId65"/>
                    <a:stretch>
                      <a:fillRect/>
                    </a:stretch>
                  </pic:blipFill>
                  <pic:spPr bwMode="auto">
                    <a:xfrm>
                      <a:off x="0" y="0"/>
                      <a:ext cx="5334000" cy="3466809"/>
                    </a:xfrm>
                    <a:prstGeom prst="rect">
                      <a:avLst/>
                    </a:prstGeom>
                    <a:noFill/>
                    <a:ln w="9525">
                      <a:noFill/>
                      <a:headEnd/>
                      <a:tailEnd/>
                    </a:ln>
                  </pic:spPr>
                </pic:pic>
              </a:graphicData>
            </a:graphic>
          </wp:inline>
        </w:drawing>
      </w:r>
    </w:p>
    <w:p>
      <w:pPr>
        <w:pStyle w:val="ImageCaption"/>
      </w:pPr>
      <w:r>
        <w:t xml:space="preserve">Route Map</w:t>
      </w:r>
    </w:p>
    <w:p>
      <w:pPr>
        <w:pStyle w:val="TableCaption"/>
      </w:pPr>
      <w:r>
        <w:t xml:space="preserve">Routing Results</w:t>
      </w:r>
    </w:p>
    <w:tbl>
      <w:tblPr>
        <w:tblStyle w:val="Table"/>
        <w:tblW w:type="auto" w:w="0"/>
        <w:tblLook w:firstRow="1" w:lastRow="0" w:firstColumn="0" w:lastColumn="0" w:noHBand="0" w:noVBand="0" w:val="0020"/>
        <w:tblCaption w:val="Routing Results"/>
      </w:tblPr>
      <w:tblGrid>
        <w:gridCol w:w="1980"/>
        <w:gridCol w:w="1980"/>
        <w:gridCol w:w="1980"/>
        <w:gridCol w:w="1980"/>
      </w:tblGrid>
      <w:tr>
        <w:trPr>
          <w:tblHeader w:val="on"/>
        </w:trPr>
        <w:tc>
          <w:tcPr/>
          <w:p>
            <w:pPr>
              <w:pStyle w:val="Compact"/>
            </w:pPr>
            <w:r>
              <w:t xml:space="preserve">Route</w:t>
            </w:r>
          </w:p>
        </w:tc>
        <w:tc>
          <w:tcPr/>
          <w:p>
            <w:pPr>
              <w:pStyle w:val="Compact"/>
            </w:pPr>
            <w:r>
              <w:t xml:space="preserve">Distance (km)</w:t>
            </w:r>
          </w:p>
        </w:tc>
        <w:tc>
          <w:tcPr/>
          <w:p>
            <w:pPr>
              <w:pStyle w:val="Compact"/>
            </w:pPr>
            <w:r>
              <w:t xml:space="preserve">Average LST</w:t>
            </w:r>
          </w:p>
        </w:tc>
        <w:tc>
          <w:tcPr/>
          <w:p>
            <w:pPr>
              <w:pStyle w:val="Compact"/>
            </w:pPr>
            <w:r>
              <w:t xml:space="preserve">Maximum LST</w:t>
            </w:r>
          </w:p>
        </w:tc>
      </w:tr>
      <w:tr>
        <w:tc>
          <w:tcPr/>
          <w:p>
            <w:pPr>
              <w:pStyle w:val="Compact"/>
            </w:pPr>
            <w:r>
              <w:t xml:space="preserve">Shortest</w:t>
            </w:r>
          </w:p>
        </w:tc>
        <w:tc>
          <w:tcPr/>
          <w:p>
            <w:pPr>
              <w:pStyle w:val="Compact"/>
            </w:pPr>
            <w:r>
              <w:t xml:space="preserve">22.00</w:t>
            </w:r>
          </w:p>
        </w:tc>
        <w:tc>
          <w:tcPr/>
          <w:p>
            <w:pPr>
              <w:pStyle w:val="Compact"/>
            </w:pPr>
            <w:r>
              <w:t xml:space="preserve">40.63°C</w:t>
            </w:r>
          </w:p>
        </w:tc>
        <w:tc>
          <w:tcPr/>
          <w:p>
            <w:pPr>
              <w:pStyle w:val="Compact"/>
            </w:pPr>
            <w:r>
              <w:t xml:space="preserve">45.41°C</w:t>
            </w:r>
          </w:p>
        </w:tc>
      </w:tr>
      <w:tr>
        <w:tc>
          <w:tcPr/>
          <w:p>
            <w:pPr>
              <w:pStyle w:val="Compact"/>
            </w:pPr>
            <w:r>
              <w:t xml:space="preserve">Coolest</w:t>
            </w:r>
          </w:p>
        </w:tc>
        <w:tc>
          <w:tcPr/>
          <w:p>
            <w:pPr>
              <w:pStyle w:val="Compact"/>
            </w:pPr>
            <w:r>
              <w:t xml:space="preserve">27.83</w:t>
            </w:r>
          </w:p>
        </w:tc>
        <w:tc>
          <w:tcPr/>
          <w:p>
            <w:pPr>
              <w:pStyle w:val="Compact"/>
            </w:pPr>
            <w:r>
              <w:t xml:space="preserve">40.20°C</w:t>
            </w:r>
          </w:p>
        </w:tc>
        <w:tc>
          <w:tcPr/>
          <w:p>
            <w:pPr>
              <w:pStyle w:val="Compact"/>
            </w:pPr>
            <w:r>
              <w:t xml:space="preserve">43.95°C</w:t>
            </w:r>
          </w:p>
        </w:tc>
      </w:tr>
      <w:tr>
        <w:tc>
          <w:tcPr/>
          <w:p>
            <w:pPr>
              <w:pStyle w:val="Compact"/>
            </w:pPr>
            <w:r>
              <w:t xml:space="preserve">Hottest</w:t>
            </w:r>
          </w:p>
        </w:tc>
        <w:tc>
          <w:tcPr/>
          <w:p>
            <w:pPr>
              <w:pStyle w:val="Compact"/>
            </w:pPr>
            <w:r>
              <w:t xml:space="preserve">27.38</w:t>
            </w:r>
          </w:p>
        </w:tc>
        <w:tc>
          <w:tcPr/>
          <w:p>
            <w:pPr>
              <w:pStyle w:val="Compact"/>
            </w:pPr>
            <w:r>
              <w:t xml:space="preserve">40.40°C</w:t>
            </w:r>
          </w:p>
        </w:tc>
        <w:tc>
          <w:tcPr/>
          <w:p>
            <w:pPr>
              <w:pStyle w:val="Compact"/>
            </w:pPr>
            <w:r>
              <w:t xml:space="preserve">43.95°C</w:t>
            </w:r>
          </w:p>
        </w:tc>
      </w:tr>
    </w:tbl>
    <w:bookmarkEnd w:id="68"/>
    <w:bookmarkEnd w:id="69"/>
    <w:bookmarkStart w:id="70" w:name="v.-discussion-and-limitations"/>
    <w:p>
      <w:pPr>
        <w:pStyle w:val="Heading1"/>
      </w:pPr>
      <w:r>
        <w:t xml:space="preserve">V. Discussion and Limitations</w:t>
      </w:r>
    </w:p>
    <w:p>
      <w:pPr>
        <w:pStyle w:val="FirstParagraph"/>
      </w:pPr>
      <w:r>
        <w:t xml:space="preserve">Hot Hẻm demonstrates a scalable approach for integrating human-scale streetscape morphology with city-scale remote sensing to operationalize pedestrian heat risk. The small performance gap between full and deployment models suggests that the system remains robust even in areas with sparse GSV coverage.</w:t>
      </w:r>
    </w:p>
    <w:p>
      <w:pPr>
        <w:pStyle w:val="BodyText"/>
      </w:pPr>
      <w:r>
        <w:t xml:space="preserve">Two limitations merit emphasis. First, temporal alignment between GSV acquisition and satellite composites may introduce noise in model relationships. Second, the current heat-category thresholds appear to skew heavily toward</w:t>
      </w:r>
      <w:r>
        <w:t xml:space="preserve"> </w:t>
      </w:r>
      <w:r>
        <w:t xml:space="preserve">“Hot/Very Hot,”</w:t>
      </w:r>
      <w:r>
        <w:t xml:space="preserve"> </w:t>
      </w:r>
      <w:r>
        <w:t xml:space="preserve">suggesting that categorical calibration (e.g., quantile-based or health-relevant thresholds) should be refined prior to policy-facing deployment.</w:t>
      </w:r>
    </w:p>
    <w:bookmarkEnd w:id="70"/>
    <w:bookmarkStart w:id="71" w:name="vi.-conclusion"/>
    <w:p>
      <w:pPr>
        <w:pStyle w:val="Heading1"/>
      </w:pPr>
      <w:r>
        <w:t xml:space="preserve">VI. Conclusion</w:t>
      </w:r>
    </w:p>
    <w:p>
      <w:pPr>
        <w:pStyle w:val="FirstParagraph"/>
      </w:pPr>
      <w:r>
        <w:t xml:space="preserve">This project delivers a reproducible, multi-scale GeoAI pipeline for heat-weighted pedestrian routing in Ho Chi Minh City. By combining GSV-derived segmentation indices with Landsat thermal variables, JAXA SAR structure, and DSM terrain context, the framework achieves strong predictive accuracy and enables practical routing alternatives that reduce heat exposure. Future extensions should include threshold calibration, multi-season modeling, and uncertainty-aware routing to further strengthen real-world applicability.</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46" Target="media/rId46.png" /><Relationship Type="http://schemas.openxmlformats.org/officeDocument/2006/relationships/image" Id="rId65" Target="media/rId65.png" /><Relationship Type="http://schemas.openxmlformats.org/officeDocument/2006/relationships/image" Id="rId36" Target="media/rId36.png" /><Relationship Type="http://schemas.openxmlformats.org/officeDocument/2006/relationships/image" Id="rId59" Target="media/rId59.png" /><Relationship Type="http://schemas.openxmlformats.org/officeDocument/2006/relationships/image" Id="rId25" Target="media/rId25.png" /><Relationship Type="http://schemas.openxmlformats.org/officeDocument/2006/relationships/image" Id="rId62" Target="media/rId62.png" /><Relationship Type="http://schemas.openxmlformats.org/officeDocument/2006/relationships/image" Id="rId32" Target="media/rId32.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Hẻm: Sài Gòn Giữa Cái Nóng Hổng Công Bằng</dc:title>
  <dc:creator>Tess Vu</dc:creator>
  <cp:keywords/>
  <dcterms:created xsi:type="dcterms:W3CDTF">2025-12-07T07:11:53Z</dcterms:created>
  <dcterms:modified xsi:type="dcterms:W3CDTF">2025-12-07T07:11:53Z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2025-12-07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Optimization for Suffering: The Hottest Route Available</vt:lpwstr>
  </property>
  <property fmtid="{D5CDD505-2E9C-101B-9397-08002B2CF9AE}" pid="12" name="toc-title">
    <vt:lpwstr>Table of contents</vt:lpwstr>
  </property>
</Properties>
</file>