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F3CAC" w14:textId="77777777" w:rsidR="00766F24" w:rsidRPr="00DB6547" w:rsidRDefault="00000000" w:rsidP="006A05A1">
      <w:pPr>
        <w:pStyle w:val="Title"/>
        <w:rPr>
          <w:rFonts w:ascii="Times New Roman" w:hAnsi="Times New Roman" w:cs="Times New Roman"/>
          <w:b/>
          <w:bCs/>
          <w:color w:val="000000" w:themeColor="text1"/>
          <w:sz w:val="22"/>
          <w:szCs w:val="22"/>
        </w:rPr>
      </w:pPr>
      <w:r w:rsidRPr="00DB6547">
        <w:rPr>
          <w:rFonts w:ascii="Times New Roman" w:hAnsi="Times New Roman" w:cs="Times New Roman"/>
          <w:b/>
          <w:bCs/>
          <w:color w:val="000000" w:themeColor="text1"/>
          <w:sz w:val="22"/>
          <w:szCs w:val="22"/>
        </w:rPr>
        <w:t xml:space="preserve">Hot </w:t>
      </w:r>
      <w:proofErr w:type="spellStart"/>
      <w:r w:rsidRPr="00DB6547">
        <w:rPr>
          <w:rFonts w:ascii="Times New Roman" w:hAnsi="Times New Roman" w:cs="Times New Roman"/>
          <w:b/>
          <w:bCs/>
          <w:color w:val="000000" w:themeColor="text1"/>
          <w:sz w:val="22"/>
          <w:szCs w:val="22"/>
        </w:rPr>
        <w:t>Hẻm</w:t>
      </w:r>
      <w:proofErr w:type="spellEnd"/>
      <w:r w:rsidRPr="00DB6547">
        <w:rPr>
          <w:rFonts w:ascii="Times New Roman" w:hAnsi="Times New Roman" w:cs="Times New Roman"/>
          <w:b/>
          <w:bCs/>
          <w:color w:val="000000" w:themeColor="text1"/>
          <w:sz w:val="22"/>
          <w:szCs w:val="22"/>
        </w:rPr>
        <w:t xml:space="preserve">: </w:t>
      </w:r>
      <w:proofErr w:type="spellStart"/>
      <w:r w:rsidRPr="00DB6547">
        <w:rPr>
          <w:rFonts w:ascii="Times New Roman" w:hAnsi="Times New Roman" w:cs="Times New Roman"/>
          <w:b/>
          <w:bCs/>
          <w:color w:val="000000" w:themeColor="text1"/>
          <w:sz w:val="22"/>
          <w:szCs w:val="22"/>
        </w:rPr>
        <w:t>Sài</w:t>
      </w:r>
      <w:proofErr w:type="spellEnd"/>
      <w:r w:rsidRPr="00DB6547">
        <w:rPr>
          <w:rFonts w:ascii="Times New Roman" w:hAnsi="Times New Roman" w:cs="Times New Roman"/>
          <w:b/>
          <w:bCs/>
          <w:color w:val="000000" w:themeColor="text1"/>
          <w:sz w:val="22"/>
          <w:szCs w:val="22"/>
        </w:rPr>
        <w:t xml:space="preserve"> </w:t>
      </w:r>
      <w:proofErr w:type="spellStart"/>
      <w:r w:rsidRPr="00DB6547">
        <w:rPr>
          <w:rFonts w:ascii="Times New Roman" w:hAnsi="Times New Roman" w:cs="Times New Roman"/>
          <w:b/>
          <w:bCs/>
          <w:color w:val="000000" w:themeColor="text1"/>
          <w:sz w:val="22"/>
          <w:szCs w:val="22"/>
        </w:rPr>
        <w:t>Gòn</w:t>
      </w:r>
      <w:proofErr w:type="spellEnd"/>
      <w:r w:rsidRPr="00DB6547">
        <w:rPr>
          <w:rFonts w:ascii="Times New Roman" w:hAnsi="Times New Roman" w:cs="Times New Roman"/>
          <w:b/>
          <w:bCs/>
          <w:color w:val="000000" w:themeColor="text1"/>
          <w:sz w:val="22"/>
          <w:szCs w:val="22"/>
        </w:rPr>
        <w:t xml:space="preserve"> </w:t>
      </w:r>
      <w:proofErr w:type="spellStart"/>
      <w:r w:rsidRPr="00DB6547">
        <w:rPr>
          <w:rFonts w:ascii="Times New Roman" w:hAnsi="Times New Roman" w:cs="Times New Roman"/>
          <w:b/>
          <w:bCs/>
          <w:color w:val="000000" w:themeColor="text1"/>
          <w:sz w:val="22"/>
          <w:szCs w:val="22"/>
        </w:rPr>
        <w:t>Giữa</w:t>
      </w:r>
      <w:proofErr w:type="spellEnd"/>
      <w:r w:rsidRPr="00DB6547">
        <w:rPr>
          <w:rFonts w:ascii="Times New Roman" w:hAnsi="Times New Roman" w:cs="Times New Roman"/>
          <w:b/>
          <w:bCs/>
          <w:color w:val="000000" w:themeColor="text1"/>
          <w:sz w:val="22"/>
          <w:szCs w:val="22"/>
        </w:rPr>
        <w:t xml:space="preserve"> Cái Nóng Hổng Công Bằng—Saigon in Unequal Heat</w:t>
      </w:r>
    </w:p>
    <w:p w14:paraId="43A75AF1" w14:textId="77777777" w:rsidR="00766F24" w:rsidRPr="00DB6547" w:rsidRDefault="00000000" w:rsidP="006A05A1">
      <w:pPr>
        <w:pStyle w:val="Subtitle"/>
        <w:rPr>
          <w:rFonts w:ascii="Times New Roman" w:hAnsi="Times New Roman" w:cs="Times New Roman"/>
          <w:b/>
          <w:bCs/>
          <w:color w:val="000000" w:themeColor="text1"/>
          <w:sz w:val="22"/>
          <w:szCs w:val="22"/>
        </w:rPr>
      </w:pPr>
      <w:r w:rsidRPr="00DB6547">
        <w:rPr>
          <w:rFonts w:ascii="Times New Roman" w:hAnsi="Times New Roman" w:cs="Times New Roman"/>
          <w:b/>
          <w:bCs/>
          <w:color w:val="000000" w:themeColor="text1"/>
          <w:sz w:val="22"/>
          <w:szCs w:val="22"/>
        </w:rPr>
        <w:t>Optimization for Suffering: The Hottest Route Available</w:t>
      </w:r>
    </w:p>
    <w:p w14:paraId="32B5F5DB" w14:textId="77777777" w:rsidR="00766F24" w:rsidRPr="00730655" w:rsidRDefault="00000000" w:rsidP="006A05A1">
      <w:pPr>
        <w:pStyle w:val="Heading1"/>
      </w:pPr>
      <w:bookmarkStart w:id="0" w:name="i.-introduction"/>
      <w:r w:rsidRPr="00730655">
        <w:t>I. Introduction</w:t>
      </w:r>
    </w:p>
    <w:p w14:paraId="7881B4F2" w14:textId="4D63D25D" w:rsidR="00597478" w:rsidRPr="00597478" w:rsidRDefault="00597478" w:rsidP="006A05A1">
      <w:pPr>
        <w:pStyle w:val="FirstParagraph"/>
        <w:rPr>
          <w:rFonts w:ascii="Times New Roman" w:hAnsi="Times New Roman" w:cs="Times New Roman"/>
          <w:color w:val="000000" w:themeColor="text1"/>
          <w:sz w:val="22"/>
          <w:szCs w:val="22"/>
        </w:rPr>
      </w:pPr>
      <w:r w:rsidRPr="00597478">
        <w:rPr>
          <w:rFonts w:ascii="Times New Roman" w:hAnsi="Times New Roman" w:cs="Times New Roman"/>
          <w:color w:val="000000" w:themeColor="text1"/>
          <w:sz w:val="22"/>
          <w:szCs w:val="22"/>
        </w:rPr>
        <w:t xml:space="preserve">Extreme urban heat exposure is a critical, disproportionately felt environmental injustice that will only worsen with current climate trajectories </w:t>
      </w:r>
      <w:r w:rsidRPr="00730655">
        <w:rPr>
          <w:rFonts w:ascii="Times New Roman" w:hAnsi="Times New Roman" w:cs="Times New Roman"/>
          <w:color w:val="000000" w:themeColor="text1"/>
          <w:sz w:val="22"/>
          <w:szCs w:val="22"/>
        </w:rPr>
        <w:t>(Chakraborty et al., 2019)</w:t>
      </w:r>
      <w:r w:rsidRPr="00597478">
        <w:rPr>
          <w:rFonts w:ascii="Times New Roman" w:hAnsi="Times New Roman" w:cs="Times New Roman"/>
          <w:color w:val="000000" w:themeColor="text1"/>
          <w:sz w:val="22"/>
          <w:szCs w:val="22"/>
        </w:rPr>
        <w:t xml:space="preserve">. This heterogeneity is driven by both macro-scale morphologies (e.g., land cover, emissivity) and intricate micro-scale streetscapes (e.g., canyon effects, tree canopy) </w:t>
      </w:r>
      <w:r w:rsidRPr="00730655">
        <w:rPr>
          <w:rFonts w:ascii="Times New Roman" w:hAnsi="Times New Roman" w:cs="Times New Roman"/>
          <w:color w:val="000000" w:themeColor="text1"/>
          <w:sz w:val="22"/>
          <w:szCs w:val="22"/>
        </w:rPr>
        <w:t>(Oke, 1982)</w:t>
      </w:r>
      <w:r w:rsidRPr="00597478">
        <w:rPr>
          <w:rFonts w:ascii="Times New Roman" w:hAnsi="Times New Roman" w:cs="Times New Roman"/>
          <w:color w:val="000000" w:themeColor="text1"/>
          <w:sz w:val="22"/>
          <w:szCs w:val="22"/>
        </w:rPr>
        <w:t>, many of which are governed by municipal regulation</w:t>
      </w:r>
      <w:r>
        <w:rPr>
          <w:rFonts w:ascii="Times New Roman" w:hAnsi="Times New Roman" w:cs="Times New Roman"/>
          <w:color w:val="000000" w:themeColor="text1"/>
          <w:sz w:val="22"/>
          <w:szCs w:val="22"/>
        </w:rPr>
        <w:t>.</w:t>
      </w:r>
    </w:p>
    <w:p w14:paraId="13029D13" w14:textId="47966E9F" w:rsidR="00597478" w:rsidRDefault="00597478" w:rsidP="006A05A1">
      <w:pPr>
        <w:pStyle w:val="BodyText"/>
        <w:rPr>
          <w:rFonts w:ascii="Times New Roman" w:hAnsi="Times New Roman" w:cs="Times New Roman"/>
          <w:color w:val="000000" w:themeColor="text1"/>
          <w:sz w:val="22"/>
          <w:szCs w:val="22"/>
        </w:rPr>
      </w:pPr>
      <w:r w:rsidRPr="00597478">
        <w:rPr>
          <w:rFonts w:ascii="Times New Roman" w:hAnsi="Times New Roman" w:cs="Times New Roman"/>
          <w:color w:val="000000" w:themeColor="text1"/>
          <w:sz w:val="22"/>
          <w:szCs w:val="22"/>
        </w:rPr>
        <w:t xml:space="preserve">However, conventional thermal mapping often relies on coarse satellite data, which may underrepresent the thermal reality experienced by pedestrians </w:t>
      </w:r>
      <w:r w:rsidRPr="00730655">
        <w:rPr>
          <w:rFonts w:ascii="Times New Roman" w:hAnsi="Times New Roman" w:cs="Times New Roman"/>
          <w:color w:val="000000" w:themeColor="text1"/>
          <w:sz w:val="22"/>
          <w:szCs w:val="22"/>
        </w:rPr>
        <w:t>(Middel et al., 2019)</w:t>
      </w:r>
      <w:r>
        <w:rPr>
          <w:rFonts w:ascii="Times New Roman" w:hAnsi="Times New Roman" w:cs="Times New Roman"/>
          <w:color w:val="000000" w:themeColor="text1"/>
          <w:sz w:val="22"/>
          <w:szCs w:val="22"/>
        </w:rPr>
        <w:t xml:space="preserve">. </w:t>
      </w:r>
      <w:r w:rsidRPr="00597478">
        <w:rPr>
          <w:rFonts w:ascii="Times New Roman" w:hAnsi="Times New Roman" w:cs="Times New Roman"/>
          <w:color w:val="000000" w:themeColor="text1"/>
          <w:sz w:val="22"/>
          <w:szCs w:val="22"/>
        </w:rPr>
        <w:t>Critically, existing coolest route</w:t>
      </w:r>
      <w:r w:rsidR="00F46464">
        <w:rPr>
          <w:rFonts w:ascii="Times New Roman" w:hAnsi="Times New Roman" w:cs="Times New Roman"/>
          <w:color w:val="000000" w:themeColor="text1"/>
          <w:sz w:val="22"/>
          <w:szCs w:val="22"/>
        </w:rPr>
        <w:t xml:space="preserve"> </w:t>
      </w:r>
      <w:r w:rsidRPr="00597478">
        <w:rPr>
          <w:rFonts w:ascii="Times New Roman" w:hAnsi="Times New Roman" w:cs="Times New Roman"/>
          <w:color w:val="000000" w:themeColor="text1"/>
          <w:sz w:val="22"/>
          <w:szCs w:val="22"/>
        </w:rPr>
        <w:t xml:space="preserve">algorithms place the burden of heat mitigation on the individual, treating health and wellbeing as a choice rather than revealing </w:t>
      </w:r>
      <w:proofErr w:type="gramStart"/>
      <w:r w:rsidRPr="00597478">
        <w:rPr>
          <w:rFonts w:ascii="Times New Roman" w:hAnsi="Times New Roman" w:cs="Times New Roman"/>
          <w:color w:val="000000" w:themeColor="text1"/>
          <w:sz w:val="22"/>
          <w:szCs w:val="22"/>
        </w:rPr>
        <w:t>a systemic</w:t>
      </w:r>
      <w:proofErr w:type="gramEnd"/>
      <w:r w:rsidRPr="00597478">
        <w:rPr>
          <w:rFonts w:ascii="Times New Roman" w:hAnsi="Times New Roman" w:cs="Times New Roman"/>
          <w:color w:val="000000" w:themeColor="text1"/>
          <w:sz w:val="22"/>
          <w:szCs w:val="22"/>
        </w:rPr>
        <w:t xml:space="preserve"> infrastructural failure.</w:t>
      </w:r>
    </w:p>
    <w:p w14:paraId="4C3B02D6" w14:textId="44B5FC3B" w:rsidR="00597478" w:rsidRDefault="00597478" w:rsidP="006A05A1">
      <w:pPr>
        <w:pStyle w:val="BodyText"/>
        <w:rPr>
          <w:rFonts w:ascii="Times New Roman" w:hAnsi="Times New Roman" w:cs="Times New Roman"/>
          <w:color w:val="000000" w:themeColor="text1"/>
          <w:sz w:val="22"/>
          <w:szCs w:val="22"/>
        </w:rPr>
      </w:pPr>
      <w:r w:rsidRPr="00597478">
        <w:rPr>
          <w:rFonts w:ascii="Times New Roman" w:hAnsi="Times New Roman" w:cs="Times New Roman"/>
          <w:color w:val="000000" w:themeColor="text1"/>
          <w:sz w:val="22"/>
          <w:szCs w:val="22"/>
        </w:rPr>
        <w:t xml:space="preserve">This project aims to fill this gap by first, fusing street-level visual morphology with thermal and structural remote sensing data, and second, by inverting the optimization to seek the hottest routes. By identifying corridors that maximize sun and minimize shade, this </w:t>
      </w:r>
      <w:proofErr w:type="spellStart"/>
      <w:r w:rsidRPr="00597478">
        <w:rPr>
          <w:rFonts w:ascii="Times New Roman" w:hAnsi="Times New Roman" w:cs="Times New Roman"/>
          <w:color w:val="000000" w:themeColor="text1"/>
          <w:sz w:val="22"/>
          <w:szCs w:val="22"/>
        </w:rPr>
        <w:t>GeoAI</w:t>
      </w:r>
      <w:proofErr w:type="spellEnd"/>
      <w:r w:rsidRPr="00597478">
        <w:rPr>
          <w:rFonts w:ascii="Times New Roman" w:hAnsi="Times New Roman" w:cs="Times New Roman"/>
          <w:color w:val="000000" w:themeColor="text1"/>
          <w:sz w:val="22"/>
          <w:szCs w:val="22"/>
        </w:rPr>
        <w:t xml:space="preserve"> workflow provides local municipalities with an actionable, scientific tool to pinpoint and prioritize areas for urgently needed shaded infrastructure and green investment.</w:t>
      </w:r>
    </w:p>
    <w:p w14:paraId="5F66AB87" w14:textId="77777777" w:rsidR="00766F24" w:rsidRPr="00730655" w:rsidRDefault="00000000" w:rsidP="006A05A1">
      <w:pPr>
        <w:pStyle w:val="Heading1"/>
      </w:pPr>
      <w:bookmarkStart w:id="1" w:name="ii.-data-and-study-area"/>
      <w:bookmarkEnd w:id="0"/>
      <w:r w:rsidRPr="00730655">
        <w:t>II. Data and Study Area</w:t>
      </w:r>
    </w:p>
    <w:p w14:paraId="00CF32FD" w14:textId="77777777" w:rsidR="00766F24" w:rsidRPr="00630E77" w:rsidRDefault="00000000" w:rsidP="006A05A1">
      <w:pPr>
        <w:pStyle w:val="Heading2"/>
      </w:pPr>
      <w:bookmarkStart w:id="2" w:name="pedestrian-network-and-wards"/>
      <w:r w:rsidRPr="00630E77">
        <w:t>Pedestrian Network and Wards</w:t>
      </w:r>
    </w:p>
    <w:p w14:paraId="27E3B854"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A pedestrian network graph with a 500-meter buffer was extracted from Python’s </w:t>
      </w:r>
      <w:r w:rsidRPr="00730655">
        <w:rPr>
          <w:rStyle w:val="VerbatimChar"/>
          <w:rFonts w:ascii="Times New Roman" w:hAnsi="Times New Roman" w:cs="Times New Roman"/>
          <w:color w:val="000000" w:themeColor="text1"/>
          <w:szCs w:val="22"/>
        </w:rPr>
        <w:t>osmnx</w:t>
      </w:r>
      <w:r w:rsidRPr="00730655">
        <w:rPr>
          <w:rFonts w:ascii="Times New Roman" w:hAnsi="Times New Roman" w:cs="Times New Roman"/>
          <w:color w:val="000000" w:themeColor="text1"/>
          <w:sz w:val="22"/>
          <w:szCs w:val="22"/>
        </w:rPr>
        <w:t xml:space="preserve"> (Boeing, 2017), yielding 28,445 nodes and 74,710 edges for three administrative districts: District 1, District 2, and District 8. Due to API costs and keeping in mind computational efficiency, only six wards were selected as disparate GSV candidates, two from each district of interest: Bến Thành (2,424 nodes) and Cô Giang (1,840 nodes) in District 1, An Khánh (1,119 nodes) and Thảo Điền (1,547) in District 2, and Phường 5 (2,346 nodes) and Phường 6 (2,013 nodes) from District 8.</w:t>
      </w:r>
    </w:p>
    <w:p w14:paraId="66232CA1"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lastRenderedPageBreak/>
        <w:drawing>
          <wp:inline distT="0" distB="0" distL="0" distR="0" wp14:anchorId="6F3319D4" wp14:editId="04CDB8A5">
            <wp:extent cx="3657600" cy="2414016"/>
            <wp:effectExtent l="0" t="0" r="0" b="0"/>
            <wp:docPr id="12" name="Picture" descr="Stud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images/study_area.png"/>
                    <pic:cNvPicPr>
                      <a:picLocks noChangeAspect="1" noChangeArrowheads="1"/>
                    </pic:cNvPicPr>
                  </pic:nvPicPr>
                  <pic:blipFill>
                    <a:blip r:embed="rId5"/>
                    <a:stretch>
                      <a:fillRect/>
                    </a:stretch>
                  </pic:blipFill>
                  <pic:spPr bwMode="auto">
                    <a:xfrm>
                      <a:off x="0" y="0"/>
                      <a:ext cx="3657600" cy="2414016"/>
                    </a:xfrm>
                    <a:prstGeom prst="rect">
                      <a:avLst/>
                    </a:prstGeom>
                    <a:noFill/>
                    <a:ln w="9525">
                      <a:noFill/>
                      <a:headEnd/>
                      <a:tailEnd/>
                    </a:ln>
                  </pic:spPr>
                </pic:pic>
              </a:graphicData>
            </a:graphic>
          </wp:inline>
        </w:drawing>
      </w:r>
    </w:p>
    <w:p w14:paraId="76CCBBE3"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4EFF49F4" wp14:editId="715C88C3">
            <wp:extent cx="3657600" cy="2395728"/>
            <wp:effectExtent l="0" t="0" r="0" b="0"/>
            <wp:docPr id="15" name="Picture" descr="Network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images/network_area.png"/>
                    <pic:cNvPicPr>
                      <a:picLocks noChangeAspect="1" noChangeArrowheads="1"/>
                    </pic:cNvPicPr>
                  </pic:nvPicPr>
                  <pic:blipFill>
                    <a:blip r:embed="rId6"/>
                    <a:stretch>
                      <a:fillRect/>
                    </a:stretch>
                  </pic:blipFill>
                  <pic:spPr bwMode="auto">
                    <a:xfrm>
                      <a:off x="0" y="0"/>
                      <a:ext cx="3657600" cy="2395728"/>
                    </a:xfrm>
                    <a:prstGeom prst="rect">
                      <a:avLst/>
                    </a:prstGeom>
                    <a:noFill/>
                    <a:ln w="9525">
                      <a:noFill/>
                      <a:headEnd/>
                      <a:tailEnd/>
                    </a:ln>
                  </pic:spPr>
                </pic:pic>
              </a:graphicData>
            </a:graphic>
          </wp:inline>
        </w:drawing>
      </w:r>
    </w:p>
    <w:p w14:paraId="64CC5975" w14:textId="77777777" w:rsidR="00766F24" w:rsidRPr="00730655" w:rsidRDefault="00000000" w:rsidP="006A05A1">
      <w:pPr>
        <w:pStyle w:val="Heading2"/>
      </w:pPr>
      <w:bookmarkStart w:id="3" w:name="street-level-imagery"/>
      <w:bookmarkEnd w:id="2"/>
      <w:r w:rsidRPr="00730655">
        <w:t>Street-Level Imagery</w:t>
      </w:r>
    </w:p>
    <w:p w14:paraId="0E90C090"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GSV samples generated 23,806 points from 500-meter buffered wards of interest at 50-meter intervals. Metadata contained 20,457 images, an unfortunate 14.07% decrease due to interruptions, but nonetheless providing sufficient density for training streetscape indices and validating segmentation outputs within </w:t>
      </w:r>
      <w:proofErr w:type="gramStart"/>
      <w:r w:rsidRPr="00730655">
        <w:rPr>
          <w:rFonts w:ascii="Times New Roman" w:hAnsi="Times New Roman" w:cs="Times New Roman"/>
          <w:color w:val="000000" w:themeColor="text1"/>
          <w:sz w:val="22"/>
          <w:szCs w:val="22"/>
        </w:rPr>
        <w:t>wards</w:t>
      </w:r>
      <w:proofErr w:type="gramEnd"/>
      <w:r w:rsidRPr="00730655">
        <w:rPr>
          <w:rFonts w:ascii="Times New Roman" w:hAnsi="Times New Roman" w:cs="Times New Roman"/>
          <w:color w:val="000000" w:themeColor="text1"/>
          <w:sz w:val="22"/>
          <w:szCs w:val="22"/>
        </w:rPr>
        <w:t xml:space="preserve"> of interest.</w:t>
      </w:r>
    </w:p>
    <w:p w14:paraId="62380CBB" w14:textId="77777777" w:rsidR="00766F24" w:rsidRPr="00730655" w:rsidRDefault="00000000" w:rsidP="006A05A1">
      <w:pPr>
        <w:pStyle w:val="Heading2"/>
      </w:pPr>
      <w:bookmarkStart w:id="4" w:name="remote-sensing-rasters"/>
      <w:bookmarkEnd w:id="3"/>
      <w:r w:rsidRPr="00730655">
        <w:t>Remote Sensing Rasters</w:t>
      </w:r>
    </w:p>
    <w:p w14:paraId="24388EC5" w14:textId="32EC8B5D" w:rsidR="00766F24" w:rsidRPr="005E08EA"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satellite data was extracted from several different sources (USGS, 2024; Shimada et al., 2014):</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 xml:space="preserve">Landsat 8 / 9 (30m resolution, dry months December thru </w:t>
      </w:r>
      <w:proofErr w:type="gramStart"/>
      <w:r w:rsidRPr="005E08EA">
        <w:rPr>
          <w:rFonts w:ascii="Times New Roman" w:hAnsi="Times New Roman" w:cs="Times New Roman"/>
          <w:color w:val="000000" w:themeColor="text1"/>
          <w:sz w:val="22"/>
          <w:szCs w:val="22"/>
        </w:rPr>
        <w:t>April,</w:t>
      </w:r>
      <w:proofErr w:type="gramEnd"/>
      <w:r w:rsidRPr="005E08EA">
        <w:rPr>
          <w:rFonts w:ascii="Times New Roman" w:hAnsi="Times New Roman" w:cs="Times New Roman"/>
          <w:color w:val="000000" w:themeColor="text1"/>
          <w:sz w:val="22"/>
          <w:szCs w:val="22"/>
        </w:rPr>
        <w:t xml:space="preserve"> 2023–2025)</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JAXA LULC (10m resolution, 2025)</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JAXA PALSAR-2 (</w:t>
      </w:r>
      <w:proofErr w:type="spellStart"/>
      <w:r w:rsidRPr="005E08EA">
        <w:rPr>
          <w:rFonts w:ascii="Times New Roman" w:hAnsi="Times New Roman" w:cs="Times New Roman"/>
          <w:color w:val="000000" w:themeColor="text1"/>
          <w:sz w:val="22"/>
          <w:szCs w:val="22"/>
        </w:rPr>
        <w:t>ScanSAR</w:t>
      </w:r>
      <w:proofErr w:type="spellEnd"/>
      <w:r w:rsidRPr="005E08EA">
        <w:rPr>
          <w:rFonts w:ascii="Times New Roman" w:hAnsi="Times New Roman" w:cs="Times New Roman"/>
          <w:color w:val="000000" w:themeColor="text1"/>
          <w:sz w:val="22"/>
          <w:szCs w:val="22"/>
        </w:rPr>
        <w:t>, 50m resolution, 2025)</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ALOS World 3D DSM (30m resolution, 2025)</w:t>
      </w:r>
      <w:r w:rsidR="005E08EA">
        <w:rPr>
          <w:rFonts w:ascii="Times New Roman" w:hAnsi="Times New Roman" w:cs="Times New Roman"/>
          <w:color w:val="000000" w:themeColor="text1"/>
          <w:sz w:val="22"/>
          <w:szCs w:val="22"/>
        </w:rPr>
        <w:t>.</w:t>
      </w:r>
    </w:p>
    <w:p w14:paraId="38D0215C" w14:textId="77777777" w:rsidR="00766F24" w:rsidRPr="00730655" w:rsidRDefault="00000000" w:rsidP="006A05A1">
      <w:pPr>
        <w:pStyle w:val="Heading1"/>
      </w:pPr>
      <w:bookmarkStart w:id="5" w:name="iii.-methodologies"/>
      <w:bookmarkEnd w:id="1"/>
      <w:bookmarkEnd w:id="4"/>
      <w:r w:rsidRPr="00730655">
        <w:t>III. Methodologies</w:t>
      </w:r>
    </w:p>
    <w:p w14:paraId="239CA103"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In the interest of computational efficiency, all notebooks and scripting were offloaded from local into cloud computing using Google’s Colab Pro with A100 GPU acceleration. Combining Landsat rasters into a composite was completed in ArcGIS v3.4.</w:t>
      </w:r>
    </w:p>
    <w:p w14:paraId="4AD9BAB8" w14:textId="77777777" w:rsidR="00766F24" w:rsidRPr="00730655" w:rsidRDefault="00000000" w:rsidP="006A05A1">
      <w:pPr>
        <w:pStyle w:val="Heading2"/>
      </w:pPr>
      <w:bookmarkStart w:id="6" w:name="X532c8578b230593d147f5f6ab71a65cfc24ea39"/>
      <w:r w:rsidRPr="00730655">
        <w:t>Image Segmentation and Superclass Mapping</w:t>
      </w:r>
    </w:p>
    <w:p w14:paraId="1DDCFB63"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 images were processed using Mask2Former Swin-Large (Cheng et al., 2022) trained on Mapillary Vistas (</w:t>
      </w:r>
      <w:r w:rsidRPr="00730655">
        <w:rPr>
          <w:rStyle w:val="VerbatimChar"/>
          <w:rFonts w:ascii="Times New Roman" w:hAnsi="Times New Roman" w:cs="Times New Roman"/>
          <w:color w:val="000000" w:themeColor="text1"/>
          <w:szCs w:val="22"/>
        </w:rPr>
        <w:t>facebook/mask2former-swin-large-mapillary-vistas-semantic</w:t>
      </w:r>
      <w:r w:rsidRPr="00730655">
        <w:rPr>
          <w:rFonts w:ascii="Times New Roman" w:hAnsi="Times New Roman" w:cs="Times New Roman"/>
          <w:color w:val="000000" w:themeColor="text1"/>
          <w:sz w:val="22"/>
          <w:szCs w:val="22"/>
        </w:rPr>
        <w:t xml:space="preserve">) (Neuhold et al., 2017), accessed via Hugging Face. </w:t>
      </w:r>
      <w:r w:rsidRPr="00730655">
        <w:rPr>
          <w:rFonts w:ascii="Times New Roman" w:hAnsi="Times New Roman" w:cs="Times New Roman"/>
          <w:color w:val="000000" w:themeColor="text1"/>
          <w:sz w:val="22"/>
          <w:szCs w:val="22"/>
        </w:rPr>
        <w:lastRenderedPageBreak/>
        <w:t>The model contains 65 object categories optimized for street-level scene analysis in complex urban environments like Sài Gòn.</w:t>
      </w:r>
    </w:p>
    <w:p w14:paraId="41A4D6F0"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GSV images were downloaded at 640 × </w:t>
      </w:r>
      <w:proofErr w:type="gramStart"/>
      <w:r w:rsidRPr="00730655">
        <w:rPr>
          <w:rFonts w:ascii="Times New Roman" w:hAnsi="Times New Roman" w:cs="Times New Roman"/>
          <w:color w:val="000000" w:themeColor="text1"/>
          <w:sz w:val="22"/>
          <w:szCs w:val="22"/>
        </w:rPr>
        <w:t>640 pixel</w:t>
      </w:r>
      <w:proofErr w:type="gramEnd"/>
      <w:r w:rsidRPr="00730655">
        <w:rPr>
          <w:rFonts w:ascii="Times New Roman" w:hAnsi="Times New Roman" w:cs="Times New Roman"/>
          <w:color w:val="000000" w:themeColor="text1"/>
          <w:sz w:val="22"/>
          <w:szCs w:val="22"/>
        </w:rPr>
        <w:t xml:space="preserve"> resolution. Ideally, panoramic images would have been preferable, but due to cost restraints, the static imagery was made to dynamically alter the header to be </w:t>
      </w:r>
      <w:proofErr w:type="gramStart"/>
      <w:r w:rsidRPr="00730655">
        <w:rPr>
          <w:rFonts w:ascii="Times New Roman" w:hAnsi="Times New Roman" w:cs="Times New Roman"/>
          <w:color w:val="000000" w:themeColor="text1"/>
          <w:sz w:val="22"/>
          <w:szCs w:val="22"/>
        </w:rPr>
        <w:t>front-facing</w:t>
      </w:r>
      <w:proofErr w:type="gramEnd"/>
      <w:r w:rsidRPr="00730655">
        <w:rPr>
          <w:rFonts w:ascii="Times New Roman" w:hAnsi="Times New Roman" w:cs="Times New Roman"/>
          <w:color w:val="000000" w:themeColor="text1"/>
          <w:sz w:val="22"/>
          <w:szCs w:val="22"/>
        </w:rPr>
        <w:t>.</w:t>
      </w:r>
    </w:p>
    <w:p w14:paraId="74867FB5" w14:textId="42084DB8"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To improve interpretability and stability for index construction, raw segmentation classes were remapped into seven </w:t>
      </w:r>
      <w:proofErr w:type="spellStart"/>
      <w:r w:rsidRPr="00730655">
        <w:rPr>
          <w:rFonts w:ascii="Times New Roman" w:hAnsi="Times New Roman" w:cs="Times New Roman"/>
          <w:color w:val="000000" w:themeColor="text1"/>
          <w:sz w:val="22"/>
          <w:szCs w:val="22"/>
        </w:rPr>
        <w:t>superclasses</w:t>
      </w:r>
      <w:proofErr w:type="spellEnd"/>
      <w:r w:rsidRPr="00730655">
        <w:rPr>
          <w:rFonts w:ascii="Times New Roman" w:hAnsi="Times New Roman" w:cs="Times New Roman"/>
          <w:color w:val="000000" w:themeColor="text1"/>
          <w:sz w:val="22"/>
          <w:szCs w:val="22"/>
        </w:rPr>
        <w:t>:</w:t>
      </w:r>
      <w:r w:rsidR="00371040">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Other (23 classes including persons, animals, terrain, street furniture), Vegetation (1 class), Sky (1 class), Building (7 classes including walls, fences, bridges, tunnels), Pavement/Road (12 classes including sidewalks, bike lanes, parking), Water (2 classes including boats), and Vehicle/Clutter (16 classes including poles, signs, vehicles).</w:t>
      </w:r>
    </w:p>
    <w:p w14:paraId="66DE2FEC"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4B968BA7" wp14:editId="52A63ACC">
            <wp:extent cx="5321808" cy="1828800"/>
            <wp:effectExtent l="0" t="0" r="0" b="0"/>
            <wp:docPr id="22" name="Picture" descr="Segmenta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images/segmentation.png"/>
                    <pic:cNvPicPr>
                      <a:picLocks noChangeAspect="1" noChangeArrowheads="1"/>
                    </pic:cNvPicPr>
                  </pic:nvPicPr>
                  <pic:blipFill>
                    <a:blip r:embed="rId7"/>
                    <a:stretch>
                      <a:fillRect/>
                    </a:stretch>
                  </pic:blipFill>
                  <pic:spPr bwMode="auto">
                    <a:xfrm>
                      <a:off x="0" y="0"/>
                      <a:ext cx="5321808" cy="1828800"/>
                    </a:xfrm>
                    <a:prstGeom prst="rect">
                      <a:avLst/>
                    </a:prstGeom>
                    <a:noFill/>
                    <a:ln w="9525">
                      <a:noFill/>
                      <a:headEnd/>
                      <a:tailEnd/>
                    </a:ln>
                  </pic:spPr>
                </pic:pic>
              </a:graphicData>
            </a:graphic>
          </wp:inline>
        </w:drawing>
      </w:r>
    </w:p>
    <w:p w14:paraId="05B6CFE2" w14:textId="77777777" w:rsidR="00766F24" w:rsidRPr="00730655" w:rsidRDefault="00000000" w:rsidP="006A05A1">
      <w:pPr>
        <w:pStyle w:val="Heading2"/>
      </w:pPr>
      <w:bookmarkStart w:id="7" w:name="engineering-indices"/>
      <w:bookmarkEnd w:id="6"/>
      <w:r w:rsidRPr="00730655">
        <w:t>Engineering Indices</w:t>
      </w:r>
    </w:p>
    <w:p w14:paraId="2B66DA63" w14:textId="612FBCA9" w:rsidR="00766F24" w:rsidRPr="00FB7867"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final merged superclass imagery was used to create predictive features (Li et al., 2015). Seven superclass percentages were computed directly from the segmentation masks:</w:t>
      </w:r>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pct_vegetation</w:t>
      </w:r>
      <w:proofErr w:type="spellEnd"/>
      <w:r w:rsidR="00F455AE">
        <w:rPr>
          <w:rStyle w:val="VerbatimChar"/>
          <w:rFonts w:ascii="Times New Roman" w:hAnsi="Times New Roman" w:cs="Times New Roman"/>
          <w:color w:val="000000" w:themeColor="text1"/>
          <w:szCs w:val="22"/>
        </w:rPr>
        <w:t xml:space="preserve">, </w:t>
      </w:r>
      <w:proofErr w:type="spellStart"/>
      <w:r w:rsidRPr="00730655">
        <w:rPr>
          <w:rStyle w:val="VerbatimChar"/>
          <w:rFonts w:ascii="Times New Roman" w:hAnsi="Times New Roman" w:cs="Times New Roman"/>
          <w:color w:val="000000" w:themeColor="text1"/>
          <w:szCs w:val="22"/>
        </w:rPr>
        <w:t>pct_sky</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pct_building</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pct_pavement_road</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pct_water</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pct_vehicle_clutter</w:t>
      </w:r>
      <w:proofErr w:type="spellEnd"/>
      <w:r w:rsidR="00F455AE">
        <w:rPr>
          <w:rFonts w:ascii="Times New Roman" w:hAnsi="Times New Roman" w:cs="Times New Roman"/>
          <w:color w:val="000000" w:themeColor="text1"/>
          <w:sz w:val="22"/>
          <w:szCs w:val="22"/>
        </w:rPr>
        <w:t xml:space="preserve">, and </w:t>
      </w:r>
      <w:proofErr w:type="spellStart"/>
      <w:r w:rsidRPr="00730655">
        <w:rPr>
          <w:rStyle w:val="VerbatimChar"/>
          <w:rFonts w:ascii="Times New Roman" w:hAnsi="Times New Roman" w:cs="Times New Roman"/>
          <w:color w:val="000000" w:themeColor="text1"/>
          <w:szCs w:val="22"/>
        </w:rPr>
        <w:t>pct_other</w:t>
      </w:r>
      <w:proofErr w:type="spellEnd"/>
      <w:r w:rsidR="00F455AE">
        <w:rPr>
          <w:rFonts w:ascii="Times New Roman" w:hAnsi="Times New Roman" w:cs="Times New Roman"/>
          <w:color w:val="000000" w:themeColor="text1"/>
          <w:sz w:val="22"/>
          <w:szCs w:val="22"/>
        </w:rPr>
        <w:t>.</w:t>
      </w:r>
    </w:p>
    <w:p w14:paraId="23D4C2EF" w14:textId="77777777" w:rsidR="00766F24" w:rsidRPr="00730655" w:rsidRDefault="00000000" w:rsidP="006A05A1">
      <w:pPr>
        <w:pStyle w:val="ImageCaption"/>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GSV-Derived Features</w:t>
      </w:r>
    </w:p>
    <w:p w14:paraId="344722CB" w14:textId="77777777" w:rsidR="00766F24" w:rsidRPr="00730655" w:rsidRDefault="00000000" w:rsidP="006A05A1">
      <w:pPr>
        <w:pStyle w:val="Heading2"/>
      </w:pPr>
      <w:bookmarkStart w:id="8" w:name="raster-extraction"/>
      <w:bookmarkEnd w:id="7"/>
      <w:r w:rsidRPr="00730655">
        <w:t>Raster Extraction</w:t>
      </w:r>
    </w:p>
    <w:p w14:paraId="528EC246" w14:textId="5385EA6F"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collection of Landsat rasters moved through the workflow in this order:</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Create Mosaic Dataset (Data Management)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Make Mosaic Layer (Data Management)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Cell Statistics (Spatial Analyst)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Raster Calculator (Spatial Analyst)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Copy Raster (Data Management)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Composite Bands (Data Management)</w:t>
      </w:r>
      <w:r w:rsidR="00311CDD">
        <w:rPr>
          <w:rFonts w:ascii="Times New Roman" w:hAnsi="Times New Roman" w:cs="Times New Roman"/>
          <w:color w:val="000000" w:themeColor="text1"/>
          <w:sz w:val="22"/>
          <w:szCs w:val="22"/>
        </w:rPr>
        <w:t>.</w:t>
      </w:r>
    </w:p>
    <w:p w14:paraId="4C8B0169" w14:textId="447570A3"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A mosaic dataset was created to combine and stitch together 64 scenes from 2023 </w:t>
      </w:r>
      <w:proofErr w:type="gramStart"/>
      <w:r w:rsidRPr="00730655">
        <w:rPr>
          <w:rFonts w:ascii="Times New Roman" w:hAnsi="Times New Roman" w:cs="Times New Roman"/>
          <w:color w:val="000000" w:themeColor="text1"/>
          <w:sz w:val="22"/>
          <w:szCs w:val="22"/>
        </w:rPr>
        <w:t>thru</w:t>
      </w:r>
      <w:proofErr w:type="gramEnd"/>
      <w:r w:rsidRPr="00730655">
        <w:rPr>
          <w:rFonts w:ascii="Times New Roman" w:hAnsi="Times New Roman" w:cs="Times New Roman"/>
          <w:color w:val="000000" w:themeColor="text1"/>
          <w:sz w:val="22"/>
          <w:szCs w:val="22"/>
        </w:rPr>
        <w:t xml:space="preserve"> 2025 during dry season months December </w:t>
      </w:r>
      <w:proofErr w:type="gramStart"/>
      <w:r w:rsidRPr="00730655">
        <w:rPr>
          <w:rFonts w:ascii="Times New Roman" w:hAnsi="Times New Roman" w:cs="Times New Roman"/>
          <w:color w:val="000000" w:themeColor="text1"/>
          <w:sz w:val="22"/>
          <w:szCs w:val="22"/>
        </w:rPr>
        <w:t>thru</w:t>
      </w:r>
      <w:proofErr w:type="gramEnd"/>
      <w:r w:rsidRPr="00730655">
        <w:rPr>
          <w:rFonts w:ascii="Times New Roman" w:hAnsi="Times New Roman" w:cs="Times New Roman"/>
          <w:color w:val="000000" w:themeColor="text1"/>
          <w:sz w:val="22"/>
          <w:szCs w:val="22"/>
        </w:rPr>
        <w:t xml:space="preserve"> April.</w:t>
      </w:r>
      <w:r w:rsidR="006B68EE">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The different mosaic layers were isolated, with maximum LST and averages for other layers. This was to process individual cell statistics to convert DN raw values and re-scale, and raster calculations to calculate NDVI and alter LST from Kelvin to Celsius. Only the QA_PIXEL band was acquired through the 5th tool.</w:t>
      </w:r>
    </w:p>
    <w:p w14:paraId="0BC1ECFE" w14:textId="77777777" w:rsidR="00766F24" w:rsidRPr="00730655" w:rsidRDefault="00000000" w:rsidP="006A05A1">
      <w:pPr>
        <w:pStyle w:val="Heading2"/>
      </w:pPr>
      <w:bookmarkStart w:id="9" w:name="model-design-and-training"/>
      <w:bookmarkEnd w:id="8"/>
      <w:r w:rsidRPr="00730655">
        <w:t>Model Design and Training</w:t>
      </w:r>
    </w:p>
    <w:p w14:paraId="29AD8991"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Two XGBoost models were trained using the </w:t>
      </w:r>
      <w:r w:rsidRPr="00730655">
        <w:rPr>
          <w:rStyle w:val="VerbatimChar"/>
          <w:rFonts w:ascii="Times New Roman" w:hAnsi="Times New Roman" w:cs="Times New Roman"/>
          <w:color w:val="000000" w:themeColor="text1"/>
          <w:szCs w:val="22"/>
        </w:rPr>
        <w:t>xgboost</w:t>
      </w:r>
      <w:r w:rsidRPr="00730655">
        <w:rPr>
          <w:rFonts w:ascii="Times New Roman" w:hAnsi="Times New Roman" w:cs="Times New Roman"/>
          <w:color w:val="000000" w:themeColor="text1"/>
          <w:sz w:val="22"/>
          <w:szCs w:val="22"/>
        </w:rPr>
        <w:t xml:space="preserve"> Python library: a full model including raster and GSV features for maximum predictive power, and a deployment model using only raster features for city-wide application (Chen &amp; Guestrin, 2016).</w:t>
      </w:r>
    </w:p>
    <w:p w14:paraId="6D47AB7C" w14:textId="7C6569B9" w:rsidR="007D4674" w:rsidRPr="007D4674" w:rsidRDefault="007D4674" w:rsidP="006A05A1">
      <w:pPr>
        <w:pStyle w:val="FirstParagraph"/>
        <w:rPr>
          <w:rStyle w:val="CommentTok"/>
          <w:rFonts w:ascii="Times New Roman" w:hAnsi="Times New Roman" w:cs="Times New Roman"/>
          <w:i w:val="0"/>
          <w:iCs/>
          <w:color w:val="000000" w:themeColor="text1"/>
          <w:szCs w:val="22"/>
        </w:rPr>
      </w:pPr>
      <w:bookmarkStart w:id="10" w:name="feature-selection-rationale"/>
      <w:bookmarkEnd w:id="9"/>
      <w:r w:rsidRPr="007D4674">
        <w:rPr>
          <w:rStyle w:val="CommentTok"/>
          <w:rFonts w:ascii="Times New Roman" w:hAnsi="Times New Roman" w:cs="Times New Roman"/>
          <w:i w:val="0"/>
          <w:iCs/>
          <w:color w:val="000000" w:themeColor="text1"/>
          <w:szCs w:val="22"/>
        </w:rPr>
        <w:t>The input feature space includes: Landsat features, providing thermal and vegetative surface characteristics (</w:t>
      </w:r>
      <w:proofErr w:type="spellStart"/>
      <w:r w:rsidRPr="007D4674">
        <w:rPr>
          <w:rStyle w:val="CommentTok"/>
          <w:rFonts w:ascii="Times New Roman" w:hAnsi="Times New Roman" w:cs="Times New Roman"/>
          <w:i w:val="0"/>
          <w:iCs/>
          <w:color w:val="000000" w:themeColor="text1"/>
          <w:szCs w:val="22"/>
        </w:rPr>
        <w:t>ndvi</w:t>
      </w:r>
      <w:proofErr w:type="spellEnd"/>
      <w:r w:rsidRPr="007D4674">
        <w:rPr>
          <w:rStyle w:val="CommentTok"/>
          <w:rFonts w:ascii="Times New Roman" w:hAnsi="Times New Roman" w:cs="Times New Roman"/>
          <w:i w:val="0"/>
          <w:iCs/>
          <w:color w:val="000000" w:themeColor="text1"/>
          <w:szCs w:val="22"/>
        </w:rPr>
        <w:t xml:space="preserve"> and emissivity); PALSAR features, which quantify surface roughness and density using radar backscatter and texture metrics (</w:t>
      </w:r>
      <w:proofErr w:type="spellStart"/>
      <w:r w:rsidRPr="007D4674">
        <w:rPr>
          <w:rStyle w:val="CommentTok"/>
          <w:rFonts w:ascii="Times New Roman" w:hAnsi="Times New Roman" w:cs="Times New Roman"/>
          <w:i w:val="0"/>
          <w:iCs/>
          <w:color w:val="000000" w:themeColor="text1"/>
          <w:szCs w:val="22"/>
        </w:rPr>
        <w:t>palsar_hh_db</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palsar_hv_db</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palsar_hv_hh_ratio</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palsar_glcm_contrast</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palsar_glcm_homogeneity</w:t>
      </w:r>
      <w:proofErr w:type="spellEnd"/>
      <w:r w:rsidRPr="007D4674">
        <w:rPr>
          <w:rStyle w:val="CommentTok"/>
          <w:rFonts w:ascii="Times New Roman" w:hAnsi="Times New Roman" w:cs="Times New Roman"/>
          <w:i w:val="0"/>
          <w:iCs/>
          <w:color w:val="000000" w:themeColor="text1"/>
          <w:szCs w:val="22"/>
        </w:rPr>
        <w:t xml:space="preserve">, and </w:t>
      </w:r>
      <w:proofErr w:type="spellStart"/>
      <w:r w:rsidRPr="007D4674">
        <w:rPr>
          <w:rStyle w:val="CommentTok"/>
          <w:rFonts w:ascii="Times New Roman" w:hAnsi="Times New Roman" w:cs="Times New Roman"/>
          <w:i w:val="0"/>
          <w:iCs/>
          <w:color w:val="000000" w:themeColor="text1"/>
          <w:szCs w:val="22"/>
        </w:rPr>
        <w:t>palsar_glcm_energy</w:t>
      </w:r>
      <w:proofErr w:type="spellEnd"/>
      <w:r w:rsidRPr="007D4674">
        <w:rPr>
          <w:rStyle w:val="CommentTok"/>
          <w:rFonts w:ascii="Times New Roman" w:hAnsi="Times New Roman" w:cs="Times New Roman"/>
          <w:i w:val="0"/>
          <w:iCs/>
          <w:color w:val="000000" w:themeColor="text1"/>
          <w:szCs w:val="22"/>
        </w:rPr>
        <w:t>); DSM features, representing elevation and sky visibility (</w:t>
      </w:r>
      <w:proofErr w:type="spellStart"/>
      <w:r w:rsidRPr="007D4674">
        <w:rPr>
          <w:rStyle w:val="CommentTok"/>
          <w:rFonts w:ascii="Times New Roman" w:hAnsi="Times New Roman" w:cs="Times New Roman"/>
          <w:i w:val="0"/>
          <w:iCs/>
          <w:color w:val="000000" w:themeColor="text1"/>
          <w:szCs w:val="22"/>
        </w:rPr>
        <w:t>elevation_m</w:t>
      </w:r>
      <w:proofErr w:type="spellEnd"/>
      <w:r w:rsidRPr="007D4674">
        <w:rPr>
          <w:rStyle w:val="CommentTok"/>
          <w:rFonts w:ascii="Times New Roman" w:hAnsi="Times New Roman" w:cs="Times New Roman"/>
          <w:i w:val="0"/>
          <w:iCs/>
          <w:color w:val="000000" w:themeColor="text1"/>
          <w:szCs w:val="22"/>
        </w:rPr>
        <w:t xml:space="preserve"> and </w:t>
      </w:r>
      <w:proofErr w:type="spellStart"/>
      <w:r w:rsidRPr="007D4674">
        <w:rPr>
          <w:rStyle w:val="CommentTok"/>
          <w:rFonts w:ascii="Times New Roman" w:hAnsi="Times New Roman" w:cs="Times New Roman"/>
          <w:i w:val="0"/>
          <w:iCs/>
          <w:color w:val="000000" w:themeColor="text1"/>
          <w:szCs w:val="22"/>
        </w:rPr>
        <w:t>sky_view_factor</w:t>
      </w:r>
      <w:proofErr w:type="spellEnd"/>
      <w:r w:rsidRPr="007D4674">
        <w:rPr>
          <w:rStyle w:val="CommentTok"/>
          <w:rFonts w:ascii="Times New Roman" w:hAnsi="Times New Roman" w:cs="Times New Roman"/>
          <w:i w:val="0"/>
          <w:iCs/>
          <w:color w:val="000000" w:themeColor="text1"/>
          <w:szCs w:val="22"/>
        </w:rPr>
        <w:t xml:space="preserve">); </w:t>
      </w:r>
      <w:r w:rsidR="00903745">
        <w:rPr>
          <w:rStyle w:val="CommentTok"/>
          <w:rFonts w:ascii="Times New Roman" w:hAnsi="Times New Roman" w:cs="Times New Roman"/>
          <w:i w:val="0"/>
          <w:iCs/>
          <w:color w:val="000000" w:themeColor="text1"/>
          <w:szCs w:val="22"/>
        </w:rPr>
        <w:t>l</w:t>
      </w:r>
      <w:r w:rsidRPr="007D4674">
        <w:rPr>
          <w:rStyle w:val="CommentTok"/>
          <w:rFonts w:ascii="Times New Roman" w:hAnsi="Times New Roman" w:cs="Times New Roman"/>
          <w:i w:val="0"/>
          <w:iCs/>
          <w:color w:val="000000" w:themeColor="text1"/>
          <w:szCs w:val="22"/>
        </w:rPr>
        <w:t>andcover feature</w:t>
      </w:r>
      <w:r w:rsidR="00903745">
        <w:rPr>
          <w:rStyle w:val="CommentTok"/>
          <w:rFonts w:ascii="Times New Roman" w:hAnsi="Times New Roman" w:cs="Times New Roman"/>
          <w:i w:val="0"/>
          <w:iCs/>
          <w:color w:val="000000" w:themeColor="text1"/>
          <w:szCs w:val="22"/>
        </w:rPr>
        <w:t>s</w:t>
      </w:r>
      <w:r w:rsidRPr="007D4674">
        <w:rPr>
          <w:rStyle w:val="CommentTok"/>
          <w:rFonts w:ascii="Times New Roman" w:hAnsi="Times New Roman" w:cs="Times New Roman"/>
          <w:i w:val="0"/>
          <w:iCs/>
          <w:color w:val="000000" w:themeColor="text1"/>
          <w:szCs w:val="22"/>
        </w:rPr>
        <w:t xml:space="preserve"> from the JAXA classification (</w:t>
      </w:r>
      <w:proofErr w:type="spellStart"/>
      <w:r w:rsidRPr="007D4674">
        <w:rPr>
          <w:rStyle w:val="CommentTok"/>
          <w:rFonts w:ascii="Times New Roman" w:hAnsi="Times New Roman" w:cs="Times New Roman"/>
          <w:i w:val="0"/>
          <w:iCs/>
          <w:color w:val="000000" w:themeColor="text1"/>
          <w:szCs w:val="22"/>
        </w:rPr>
        <w:t>landcover_class</w:t>
      </w:r>
      <w:proofErr w:type="spellEnd"/>
      <w:r w:rsidRPr="007D4674">
        <w:rPr>
          <w:rStyle w:val="CommentTok"/>
          <w:rFonts w:ascii="Times New Roman" w:hAnsi="Times New Roman" w:cs="Times New Roman"/>
          <w:i w:val="0"/>
          <w:iCs/>
          <w:color w:val="000000" w:themeColor="text1"/>
          <w:szCs w:val="22"/>
        </w:rPr>
        <w:t xml:space="preserve">); and GSV </w:t>
      </w:r>
      <w:r w:rsidRPr="007D4674">
        <w:rPr>
          <w:rStyle w:val="CommentTok"/>
          <w:rFonts w:ascii="Times New Roman" w:hAnsi="Times New Roman" w:cs="Times New Roman"/>
          <w:i w:val="0"/>
          <w:iCs/>
          <w:color w:val="000000" w:themeColor="text1"/>
          <w:szCs w:val="22"/>
        </w:rPr>
        <w:lastRenderedPageBreak/>
        <w:t xml:space="preserve">segmentation features, quantifying streetscape morphology by the percentage of segmented </w:t>
      </w:r>
      <w:proofErr w:type="spellStart"/>
      <w:r w:rsidRPr="007D4674">
        <w:rPr>
          <w:rStyle w:val="CommentTok"/>
          <w:rFonts w:ascii="Times New Roman" w:hAnsi="Times New Roman" w:cs="Times New Roman"/>
          <w:i w:val="0"/>
          <w:iCs/>
          <w:color w:val="000000" w:themeColor="text1"/>
          <w:szCs w:val="22"/>
        </w:rPr>
        <w:t>superclasses</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pct_vegetation</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pct_sky</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pct_building</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pct_pavement_road</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pct_water</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pct_vehicle_clutter</w:t>
      </w:r>
      <w:proofErr w:type="spellEnd"/>
      <w:r w:rsidRPr="007D4674">
        <w:rPr>
          <w:rStyle w:val="CommentTok"/>
          <w:rFonts w:ascii="Times New Roman" w:hAnsi="Times New Roman" w:cs="Times New Roman"/>
          <w:i w:val="0"/>
          <w:iCs/>
          <w:color w:val="000000" w:themeColor="text1"/>
          <w:szCs w:val="22"/>
        </w:rPr>
        <w:t xml:space="preserve">, and </w:t>
      </w:r>
      <w:proofErr w:type="spellStart"/>
      <w:r w:rsidRPr="007D4674">
        <w:rPr>
          <w:rStyle w:val="CommentTok"/>
          <w:rFonts w:ascii="Times New Roman" w:hAnsi="Times New Roman" w:cs="Times New Roman"/>
          <w:i w:val="0"/>
          <w:iCs/>
          <w:color w:val="000000" w:themeColor="text1"/>
          <w:szCs w:val="22"/>
        </w:rPr>
        <w:t>pct_other</w:t>
      </w:r>
      <w:proofErr w:type="spellEnd"/>
      <w:r w:rsidRPr="007D4674">
        <w:rPr>
          <w:rStyle w:val="CommentTok"/>
          <w:rFonts w:ascii="Times New Roman" w:hAnsi="Times New Roman" w:cs="Times New Roman"/>
          <w:i w:val="0"/>
          <w:iCs/>
          <w:color w:val="000000" w:themeColor="text1"/>
          <w:szCs w:val="22"/>
        </w:rPr>
        <w:t>).</w:t>
      </w:r>
    </w:p>
    <w:p w14:paraId="0CB77EFB" w14:textId="51D603E8" w:rsidR="00766F24" w:rsidRPr="00730655" w:rsidRDefault="00FF3196" w:rsidP="006A05A1">
      <w:pPr>
        <w:pStyle w:val="SourceCode"/>
        <w:suppressAutoHyphens/>
        <w:wordWrap/>
        <w:rPr>
          <w:rFonts w:ascii="Times New Roman" w:hAnsi="Times New Roman" w:cs="Times New Roman"/>
          <w:color w:val="000000" w:themeColor="text1"/>
          <w:sz w:val="22"/>
          <w:szCs w:val="22"/>
        </w:rPr>
      </w:pPr>
      <w:r w:rsidRPr="00FF3196">
        <w:rPr>
          <w:rStyle w:val="NormalTok"/>
          <w:rFonts w:ascii="Times New Roman" w:hAnsi="Times New Roman" w:cs="Times New Roman"/>
          <w:color w:val="000000" w:themeColor="text1"/>
          <w:szCs w:val="22"/>
        </w:rPr>
        <w:t xml:space="preserve">The </w:t>
      </w:r>
      <w:proofErr w:type="spellStart"/>
      <w:r w:rsidRPr="00FF3196">
        <w:rPr>
          <w:rStyle w:val="NormalTok"/>
          <w:rFonts w:ascii="Times New Roman" w:hAnsi="Times New Roman" w:cs="Times New Roman"/>
          <w:color w:val="000000" w:themeColor="text1"/>
          <w:szCs w:val="22"/>
        </w:rPr>
        <w:t>XGBoost</w:t>
      </w:r>
      <w:proofErr w:type="spellEnd"/>
      <w:r w:rsidRPr="00FF3196">
        <w:rPr>
          <w:rStyle w:val="NormalTok"/>
          <w:rFonts w:ascii="Times New Roman" w:hAnsi="Times New Roman" w:cs="Times New Roman"/>
          <w:color w:val="000000" w:themeColor="text1"/>
          <w:szCs w:val="22"/>
        </w:rPr>
        <w:t xml:space="preserve"> parameters were set for robust, regularized learning to capture LST's non-linear mechanisms. The model ran for 500 estimators with a modest 0.05 learning rate and utilized early stopping. Model complexity was controlled by limiting tree depth to 5 and requiring 5 minimum instances per leaf. Variance reduction was </w:t>
      </w:r>
      <w:r w:rsidR="00C479F1">
        <w:rPr>
          <w:rStyle w:val="NormalTok"/>
          <w:rFonts w:ascii="Times New Roman" w:hAnsi="Times New Roman" w:cs="Times New Roman"/>
          <w:color w:val="000000" w:themeColor="text1"/>
          <w:szCs w:val="22"/>
        </w:rPr>
        <w:t>achieved</w:t>
      </w:r>
      <w:r w:rsidRPr="00FF3196">
        <w:rPr>
          <w:rStyle w:val="NormalTok"/>
          <w:rFonts w:ascii="Times New Roman" w:hAnsi="Times New Roman" w:cs="Times New Roman"/>
          <w:color w:val="000000" w:themeColor="text1"/>
          <w:szCs w:val="22"/>
        </w:rPr>
        <w:t xml:space="preserve"> by column and row subsampling, randomly selecting 80% of both features and data for each iteration. Finally, L1 and L2 regularization were applied to penalize model complexity and prevent overfitting.</w:t>
      </w:r>
    </w:p>
    <w:p w14:paraId="768F1DD9" w14:textId="77777777" w:rsidR="00766F24" w:rsidRPr="00730655" w:rsidRDefault="00000000" w:rsidP="006A05A1">
      <w:pPr>
        <w:pStyle w:val="Heading2"/>
      </w:pPr>
      <w:bookmarkStart w:id="11" w:name="spatial-cross-validation"/>
      <w:bookmarkEnd w:id="10"/>
      <w:r w:rsidRPr="00730655">
        <w:t>Spatial Cross-Validation</w:t>
      </w:r>
    </w:p>
    <w:p w14:paraId="1F66D239" w14:textId="7654B49B"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To prevent optimistically biased performance estimates from spatial autocorrelation, a leave-one-ward-out spatial cross-validation strategy was implemented. GSV points sampled at 50-meter intervals share the same 30-meter Landsat pixels, so adjacent points in different folds would leak information under standard K-fold CV. By holding out entire </w:t>
      </w:r>
      <w:proofErr w:type="gramStart"/>
      <w:r w:rsidRPr="00730655">
        <w:rPr>
          <w:rFonts w:ascii="Times New Roman" w:hAnsi="Times New Roman" w:cs="Times New Roman"/>
          <w:color w:val="000000" w:themeColor="text1"/>
          <w:sz w:val="22"/>
          <w:szCs w:val="22"/>
        </w:rPr>
        <w:t>wards</w:t>
      </w:r>
      <w:proofErr w:type="gramEnd"/>
      <w:r w:rsidRPr="00730655">
        <w:rPr>
          <w:rFonts w:ascii="Times New Roman" w:hAnsi="Times New Roman" w:cs="Times New Roman"/>
          <w:color w:val="000000" w:themeColor="text1"/>
          <w:sz w:val="22"/>
          <w:szCs w:val="22"/>
        </w:rPr>
        <w:t xml:space="preserve"> during each fold, the model must extrapolate to spatially distinct areas, providing realistic generalization estimates.</w:t>
      </w:r>
    </w:p>
    <w:p w14:paraId="469B882F" w14:textId="77777777" w:rsidR="00766F24" w:rsidRPr="00730655" w:rsidRDefault="00000000" w:rsidP="006A05A1">
      <w:pPr>
        <w:pStyle w:val="Heading2"/>
      </w:pPr>
      <w:bookmarkStart w:id="12" w:name="node-prediction-and-routing"/>
      <w:bookmarkEnd w:id="11"/>
      <w:r w:rsidRPr="00730655">
        <w:t>Node Prediction and Routing</w:t>
      </w:r>
    </w:p>
    <w:p w14:paraId="1F8E2CC7" w14:textId="6E47C38E"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A patchwork approach was pursued, using the full model (with GSV features) to predict within wards of interest and the deployment model (raster-only) to predict outside of those wards where GSV imagery is unavailable.</w:t>
      </w:r>
      <w:r w:rsidR="00A44182">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After generating predictions for network nodes, a prediction raster was derived from them and interpolated to create a hybrid cost surface</w:t>
      </w:r>
      <w:r w:rsidR="00CE3F30">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and a Gaussian blur applied to smooth out interpolation artifacts.</w:t>
      </w:r>
    </w:p>
    <w:p w14:paraId="2C589C85"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Dijkstra’s algorithm was implemented (Dijkstra, 1959), assigning heat edge costs by combining normalized length and temperature to support three route types with tunable </w:t>
      </w:r>
      <w:proofErr w:type="gramStart"/>
      <w:r w:rsidRPr="00730655">
        <w:rPr>
          <w:rFonts w:ascii="Times New Roman" w:hAnsi="Times New Roman" w:cs="Times New Roman"/>
          <w:color w:val="000000" w:themeColor="text1"/>
          <w:sz w:val="22"/>
          <w:szCs w:val="22"/>
        </w:rPr>
        <w:t>heat penalty</w:t>
      </w:r>
      <w:proofErr w:type="gramEnd"/>
      <w:r w:rsidRPr="00730655">
        <w:rPr>
          <w:rFonts w:ascii="Times New Roman" w:hAnsi="Times New Roman" w:cs="Times New Roman"/>
          <w:color w:val="000000" w:themeColor="text1"/>
          <w:sz w:val="22"/>
          <w:szCs w:val="22"/>
        </w:rPr>
        <w:t xml:space="preserve"> and reward parameters: shortest, coolest with a temperature penalty, and hottest with an inverted temperature penalty to reward.</w:t>
      </w:r>
    </w:p>
    <w:p w14:paraId="241484D6" w14:textId="77777777" w:rsidR="00766F24" w:rsidRPr="00730655" w:rsidRDefault="00000000" w:rsidP="006A05A1">
      <w:pPr>
        <w:pStyle w:val="Heading1"/>
      </w:pPr>
      <w:bookmarkStart w:id="13" w:name="iv.-results"/>
      <w:bookmarkEnd w:id="5"/>
      <w:bookmarkEnd w:id="12"/>
      <w:r w:rsidRPr="00730655">
        <w:t>IV. Results</w:t>
      </w:r>
    </w:p>
    <w:p w14:paraId="4238DA56" w14:textId="77777777" w:rsidR="00766F24" w:rsidRPr="00730655" w:rsidRDefault="00000000" w:rsidP="006A05A1">
      <w:pPr>
        <w:pStyle w:val="Heading2"/>
      </w:pPr>
      <w:bookmarkStart w:id="14" w:name="model-performance"/>
      <w:r w:rsidRPr="00730655">
        <w:t>Model Performance</w:t>
      </w:r>
    </w:p>
    <w:p w14:paraId="1A1CF1DB"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50C83A27" wp14:editId="471F2D7F">
            <wp:extent cx="4572000" cy="3017520"/>
            <wp:effectExtent l="0" t="0" r="0" b="0"/>
            <wp:docPr id="36" name="Picture" descr="LST Predictions Scatter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models/diagnostics/actual_vs_predicted.png"/>
                    <pic:cNvPicPr>
                      <a:picLocks noChangeAspect="1" noChangeArrowheads="1"/>
                    </pic:cNvPicPr>
                  </pic:nvPicPr>
                  <pic:blipFill>
                    <a:blip r:embed="rId8"/>
                    <a:stretch>
                      <a:fillRect/>
                    </a:stretch>
                  </pic:blipFill>
                  <pic:spPr bwMode="auto">
                    <a:xfrm>
                      <a:off x="0" y="0"/>
                      <a:ext cx="4572000" cy="3017520"/>
                    </a:xfrm>
                    <a:prstGeom prst="rect">
                      <a:avLst/>
                    </a:prstGeom>
                    <a:noFill/>
                    <a:ln w="9525">
                      <a:noFill/>
                      <a:headEnd/>
                      <a:tailEnd/>
                    </a:ln>
                  </pic:spPr>
                </pic:pic>
              </a:graphicData>
            </a:graphic>
          </wp:inline>
        </w:drawing>
      </w:r>
    </w:p>
    <w:p w14:paraId="6CE71350" w14:textId="03E22528" w:rsidR="00766F24" w:rsidRPr="00730655"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LST Predictions Scatter Plot</w:t>
      </w:r>
    </w:p>
    <w:p w14:paraId="70841291"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Model performance was evaluated using three complementary metrics: training set performance, spatial cross-validation (leave-one-ward-out), and holdout ward (An </w:t>
      </w:r>
      <w:proofErr w:type="spellStart"/>
      <w:r w:rsidRPr="00730655">
        <w:rPr>
          <w:rFonts w:ascii="Times New Roman" w:hAnsi="Times New Roman" w:cs="Times New Roman"/>
          <w:color w:val="000000" w:themeColor="text1"/>
          <w:sz w:val="22"/>
          <w:szCs w:val="22"/>
        </w:rPr>
        <w:t>Phú</w:t>
      </w:r>
      <w:proofErr w:type="spellEnd"/>
      <w:r w:rsidRPr="00730655">
        <w:rPr>
          <w:rFonts w:ascii="Times New Roman" w:hAnsi="Times New Roman" w:cs="Times New Roman"/>
          <w:color w:val="000000" w:themeColor="text1"/>
          <w:sz w:val="22"/>
          <w:szCs w:val="22"/>
        </w:rPr>
        <w:t>) performance.</w:t>
      </w:r>
    </w:p>
    <w:p w14:paraId="15C942EF" w14:textId="77777777" w:rsidR="00766F24" w:rsidRPr="00730655" w:rsidRDefault="00000000" w:rsidP="006A05A1">
      <w:pPr>
        <w:pStyle w:val="Tabl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lastRenderedPageBreak/>
        <w:t>Model Performance Comparison</w:t>
      </w:r>
    </w:p>
    <w:tbl>
      <w:tblPr>
        <w:tblStyle w:val="Table"/>
        <w:tblW w:w="0" w:type="auto"/>
        <w:jc w:val="center"/>
        <w:tblLook w:val="0020" w:firstRow="1" w:lastRow="0" w:firstColumn="0" w:lastColumn="0" w:noHBand="0" w:noVBand="0"/>
      </w:tblPr>
      <w:tblGrid>
        <w:gridCol w:w="1842"/>
        <w:gridCol w:w="1657"/>
        <w:gridCol w:w="1933"/>
      </w:tblGrid>
      <w:tr w:rsidR="00D412E7" w:rsidRPr="00730655" w14:paraId="5FF281FF" w14:textId="77777777" w:rsidTr="007748D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1980D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Metric</w:t>
            </w:r>
          </w:p>
        </w:tc>
        <w:tc>
          <w:tcPr>
            <w:tcW w:w="0" w:type="auto"/>
          </w:tcPr>
          <w:p w14:paraId="1E70DD4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Full Model</w:t>
            </w:r>
          </w:p>
        </w:tc>
        <w:tc>
          <w:tcPr>
            <w:tcW w:w="0" w:type="auto"/>
          </w:tcPr>
          <w:p w14:paraId="6AE4A09C"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Deployment Model</w:t>
            </w:r>
          </w:p>
        </w:tc>
      </w:tr>
      <w:tr w:rsidR="00D412E7" w:rsidRPr="00730655" w14:paraId="7D34A440" w14:textId="77777777" w:rsidTr="007748DF">
        <w:trPr>
          <w:jc w:val="center"/>
        </w:trPr>
        <w:tc>
          <w:tcPr>
            <w:tcW w:w="0" w:type="auto"/>
          </w:tcPr>
          <w:p w14:paraId="7572014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Features</w:t>
            </w:r>
          </w:p>
        </w:tc>
        <w:tc>
          <w:tcPr>
            <w:tcW w:w="0" w:type="auto"/>
          </w:tcPr>
          <w:p w14:paraId="31A710D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18</w:t>
            </w:r>
          </w:p>
        </w:tc>
        <w:tc>
          <w:tcPr>
            <w:tcW w:w="0" w:type="auto"/>
          </w:tcPr>
          <w:p w14:paraId="713E46F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11</w:t>
            </w:r>
          </w:p>
        </w:tc>
      </w:tr>
      <w:tr w:rsidR="00D412E7" w:rsidRPr="00730655" w14:paraId="59673239" w14:textId="77777777" w:rsidTr="007748DF">
        <w:trPr>
          <w:jc w:val="center"/>
        </w:trPr>
        <w:tc>
          <w:tcPr>
            <w:tcW w:w="0" w:type="auto"/>
          </w:tcPr>
          <w:p w14:paraId="678E32A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Training RMSE</w:t>
            </w:r>
          </w:p>
        </w:tc>
        <w:tc>
          <w:tcPr>
            <w:tcW w:w="0" w:type="auto"/>
          </w:tcPr>
          <w:p w14:paraId="5539C67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0.6203</w:t>
            </w:r>
          </w:p>
        </w:tc>
        <w:tc>
          <w:tcPr>
            <w:tcW w:w="0" w:type="auto"/>
          </w:tcPr>
          <w:p w14:paraId="247FE45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0.6844</w:t>
            </w:r>
          </w:p>
        </w:tc>
      </w:tr>
      <w:tr w:rsidR="00D412E7" w:rsidRPr="00730655" w14:paraId="26F822B2" w14:textId="77777777" w:rsidTr="007748DF">
        <w:trPr>
          <w:jc w:val="center"/>
        </w:trPr>
        <w:tc>
          <w:tcPr>
            <w:tcW w:w="0" w:type="auto"/>
          </w:tcPr>
          <w:p w14:paraId="66FE8806"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Training R²</w:t>
            </w:r>
          </w:p>
        </w:tc>
        <w:tc>
          <w:tcPr>
            <w:tcW w:w="0" w:type="auto"/>
          </w:tcPr>
          <w:p w14:paraId="4DB54DC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0.8285</w:t>
            </w:r>
          </w:p>
        </w:tc>
        <w:tc>
          <w:tcPr>
            <w:tcW w:w="0" w:type="auto"/>
          </w:tcPr>
          <w:p w14:paraId="3F75D84F"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0.7913</w:t>
            </w:r>
          </w:p>
        </w:tc>
      </w:tr>
      <w:tr w:rsidR="00D412E7" w:rsidRPr="00730655" w14:paraId="0A7B4EBC" w14:textId="77777777" w:rsidTr="007748DF">
        <w:trPr>
          <w:jc w:val="center"/>
        </w:trPr>
        <w:tc>
          <w:tcPr>
            <w:tcW w:w="0" w:type="auto"/>
          </w:tcPr>
          <w:p w14:paraId="1857D1E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Spatial CV RMSE</w:t>
            </w:r>
          </w:p>
        </w:tc>
        <w:tc>
          <w:tcPr>
            <w:tcW w:w="0" w:type="auto"/>
          </w:tcPr>
          <w:p w14:paraId="7C1BFFC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1.0510 ± 0.2898</w:t>
            </w:r>
          </w:p>
        </w:tc>
        <w:tc>
          <w:tcPr>
            <w:tcW w:w="0" w:type="auto"/>
          </w:tcPr>
          <w:p w14:paraId="592F667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1.1061 ± 0.2755</w:t>
            </w:r>
          </w:p>
        </w:tc>
      </w:tr>
      <w:tr w:rsidR="00D412E7" w:rsidRPr="00730655" w14:paraId="413E5DB9" w14:textId="77777777" w:rsidTr="007748DF">
        <w:trPr>
          <w:jc w:val="center"/>
        </w:trPr>
        <w:tc>
          <w:tcPr>
            <w:tcW w:w="0" w:type="auto"/>
          </w:tcPr>
          <w:p w14:paraId="378831CD"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Spatial CV R²</w:t>
            </w:r>
          </w:p>
        </w:tc>
        <w:tc>
          <w:tcPr>
            <w:tcW w:w="0" w:type="auto"/>
          </w:tcPr>
          <w:p w14:paraId="7EEB657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0.5079 ± 0.2757</w:t>
            </w:r>
          </w:p>
        </w:tc>
        <w:tc>
          <w:tcPr>
            <w:tcW w:w="0" w:type="auto"/>
          </w:tcPr>
          <w:p w14:paraId="27A0072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0.4549 ± 0.2688</w:t>
            </w:r>
          </w:p>
        </w:tc>
      </w:tr>
      <w:tr w:rsidR="00D412E7" w:rsidRPr="00730655" w14:paraId="7F75E3B8" w14:textId="77777777" w:rsidTr="007748DF">
        <w:trPr>
          <w:jc w:val="center"/>
        </w:trPr>
        <w:tc>
          <w:tcPr>
            <w:tcW w:w="0" w:type="auto"/>
          </w:tcPr>
          <w:p w14:paraId="109E48C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RMSE</w:t>
            </w:r>
          </w:p>
        </w:tc>
        <w:tc>
          <w:tcPr>
            <w:tcW w:w="0" w:type="auto"/>
          </w:tcPr>
          <w:p w14:paraId="235B4B4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0.8093</w:t>
            </w:r>
          </w:p>
        </w:tc>
        <w:tc>
          <w:tcPr>
            <w:tcW w:w="0" w:type="auto"/>
          </w:tcPr>
          <w:p w14:paraId="00636066"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0.8422</w:t>
            </w:r>
          </w:p>
        </w:tc>
      </w:tr>
      <w:tr w:rsidR="00D412E7" w:rsidRPr="00730655" w14:paraId="61684029" w14:textId="77777777" w:rsidTr="007748DF">
        <w:trPr>
          <w:jc w:val="center"/>
        </w:trPr>
        <w:tc>
          <w:tcPr>
            <w:tcW w:w="0" w:type="auto"/>
          </w:tcPr>
          <w:p w14:paraId="68AE12A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R²</w:t>
            </w:r>
          </w:p>
        </w:tc>
        <w:tc>
          <w:tcPr>
            <w:tcW w:w="0" w:type="auto"/>
          </w:tcPr>
          <w:p w14:paraId="790EDF8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0.7180</w:t>
            </w:r>
          </w:p>
        </w:tc>
        <w:tc>
          <w:tcPr>
            <w:tcW w:w="0" w:type="auto"/>
          </w:tcPr>
          <w:p w14:paraId="4AA2C4E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0.6946</w:t>
            </w:r>
          </w:p>
        </w:tc>
      </w:tr>
      <w:tr w:rsidR="00D412E7" w:rsidRPr="00730655" w14:paraId="1EEE6027" w14:textId="77777777" w:rsidTr="007748DF">
        <w:trPr>
          <w:jc w:val="center"/>
        </w:trPr>
        <w:tc>
          <w:tcPr>
            <w:tcW w:w="0" w:type="auto"/>
          </w:tcPr>
          <w:p w14:paraId="77723CD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MAE</w:t>
            </w:r>
          </w:p>
        </w:tc>
        <w:tc>
          <w:tcPr>
            <w:tcW w:w="0" w:type="auto"/>
          </w:tcPr>
          <w:p w14:paraId="7495A73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0.5909</w:t>
            </w:r>
          </w:p>
        </w:tc>
        <w:tc>
          <w:tcPr>
            <w:tcW w:w="0" w:type="auto"/>
          </w:tcPr>
          <w:p w14:paraId="2C3C434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0.6134</w:t>
            </w:r>
          </w:p>
        </w:tc>
      </w:tr>
    </w:tbl>
    <w:p w14:paraId="15864C51"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spatial cross-validation reveals substantial inter-ward variability (± 0.27 R²), indicating that some wards are considerably harder to predict than others. The holdout ward (An Phú) achieved higher R² than the spatial CV average, suggesting it shares similar characteristics with the training wards.</w:t>
      </w:r>
    </w:p>
    <w:p w14:paraId="57A4FE5D" w14:textId="77777777" w:rsidR="00766F24" w:rsidRPr="00730655" w:rsidRDefault="00000000" w:rsidP="006A05A1">
      <w:pPr>
        <w:pStyle w:val="BodyText"/>
        <w:rPr>
          <w:rFonts w:ascii="Times New Roman" w:hAnsi="Times New Roman" w:cs="Times New Roman"/>
          <w:color w:val="000000" w:themeColor="text1"/>
          <w:sz w:val="22"/>
          <w:szCs w:val="22"/>
        </w:rPr>
      </w:pPr>
      <w:bookmarkStart w:id="15" w:name="overfitting-assessment"/>
      <w:bookmarkEnd w:id="14"/>
      <w:r w:rsidRPr="00730655">
        <w:rPr>
          <w:rFonts w:ascii="Times New Roman" w:hAnsi="Times New Roman" w:cs="Times New Roman"/>
          <w:color w:val="000000" w:themeColor="text1"/>
          <w:sz w:val="22"/>
          <w:szCs w:val="22"/>
        </w:rPr>
        <w:t>The train-holdout gap of approximately 0.10 indicates moderate but acceptable overfitting for a spatial prediction task. The larger train-CV gap (~0.32) reflects inter-ward heterogeneity rather than classical overfitting—different wards have different predictability based on their urban morphology.</w:t>
      </w:r>
    </w:p>
    <w:p w14:paraId="6FBF2247" w14:textId="77777777" w:rsidR="00766F24" w:rsidRPr="00730655" w:rsidRDefault="00000000" w:rsidP="006A05A1">
      <w:pPr>
        <w:pStyle w:val="Heading2"/>
      </w:pPr>
      <w:bookmarkStart w:id="16" w:name="gsv-feature-contribution"/>
      <w:bookmarkEnd w:id="15"/>
      <w:r w:rsidRPr="00730655">
        <w:t>GSV Feature Contribution</w:t>
      </w:r>
    </w:p>
    <w:p w14:paraId="1292FE99"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contribution of GSV-derived streetscape features was quantified by comparing the full model (with GSV) to the deployment model (raster-only):</w:t>
      </w:r>
    </w:p>
    <w:p w14:paraId="2C3DF05A" w14:textId="77777777" w:rsidR="00766F24" w:rsidRPr="00730655" w:rsidRDefault="00000000" w:rsidP="006A05A1">
      <w:pPr>
        <w:pStyle w:val="Tabl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 Feature Contribution</w:t>
      </w:r>
    </w:p>
    <w:tbl>
      <w:tblPr>
        <w:tblStyle w:val="Table"/>
        <w:tblW w:w="0" w:type="auto"/>
        <w:jc w:val="center"/>
        <w:tblLook w:val="0020" w:firstRow="1" w:lastRow="0" w:firstColumn="0" w:lastColumn="0" w:noHBand="0" w:noVBand="0"/>
      </w:tblPr>
      <w:tblGrid>
        <w:gridCol w:w="2696"/>
        <w:gridCol w:w="1402"/>
      </w:tblGrid>
      <w:tr w:rsidR="00D412E7" w:rsidRPr="00730655" w14:paraId="4E3A5009" w14:textId="77777777" w:rsidTr="007748D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F3A6C1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Metric</w:t>
            </w:r>
          </w:p>
        </w:tc>
        <w:tc>
          <w:tcPr>
            <w:tcW w:w="0" w:type="auto"/>
          </w:tcPr>
          <w:p w14:paraId="5F51551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Improvement</w:t>
            </w:r>
          </w:p>
        </w:tc>
      </w:tr>
      <w:tr w:rsidR="00D412E7" w:rsidRPr="00730655" w14:paraId="6672DBDC" w14:textId="77777777" w:rsidTr="007748DF">
        <w:trPr>
          <w:jc w:val="center"/>
        </w:trPr>
        <w:tc>
          <w:tcPr>
            <w:tcW w:w="0" w:type="auto"/>
          </w:tcPr>
          <w:p w14:paraId="2E1D4CB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Spatial CV R² Improvement</w:t>
            </w:r>
          </w:p>
        </w:tc>
        <w:tc>
          <w:tcPr>
            <w:tcW w:w="0" w:type="auto"/>
          </w:tcPr>
          <w:p w14:paraId="35144A4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+0.0530</w:t>
            </w:r>
          </w:p>
        </w:tc>
      </w:tr>
      <w:tr w:rsidR="00D412E7" w:rsidRPr="00730655" w14:paraId="77E519F3" w14:textId="77777777" w:rsidTr="007748DF">
        <w:trPr>
          <w:jc w:val="center"/>
        </w:trPr>
        <w:tc>
          <w:tcPr>
            <w:tcW w:w="0" w:type="auto"/>
          </w:tcPr>
          <w:p w14:paraId="5F69851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R² Improvement</w:t>
            </w:r>
          </w:p>
        </w:tc>
        <w:tc>
          <w:tcPr>
            <w:tcW w:w="0" w:type="auto"/>
          </w:tcPr>
          <w:p w14:paraId="6E240BC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+0.0234</w:t>
            </w:r>
          </w:p>
        </w:tc>
      </w:tr>
    </w:tbl>
    <w:p w14:paraId="2B2169E7"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 features provide modest but meaningful improvement, confirming that street-level imagery adds predictive value beyond satellite data alone.</w:t>
      </w:r>
    </w:p>
    <w:p w14:paraId="1431E50D" w14:textId="5301408D" w:rsidR="00766F24" w:rsidRPr="00730655" w:rsidRDefault="00000000" w:rsidP="006A05A1">
      <w:pPr>
        <w:pStyle w:val="Heading2"/>
      </w:pPr>
      <w:bookmarkStart w:id="17" w:name="feature-importance"/>
      <w:bookmarkEnd w:id="16"/>
      <w:r w:rsidRPr="00730655">
        <w:t>Feature Importance</w:t>
      </w:r>
    </w:p>
    <w:tbl>
      <w:tblPr>
        <w:tblStyle w:val="Table"/>
        <w:tblW w:w="0" w:type="auto"/>
        <w:jc w:val="center"/>
        <w:tblLook w:val="0020" w:firstRow="1" w:lastRow="0" w:firstColumn="0" w:lastColumn="0" w:noHBand="0" w:noVBand="0"/>
      </w:tblPr>
      <w:tblGrid>
        <w:gridCol w:w="1683"/>
        <w:gridCol w:w="1200"/>
        <w:gridCol w:w="1933"/>
      </w:tblGrid>
      <w:tr w:rsidR="00D412E7" w:rsidRPr="001D5B89" w14:paraId="6AFBDFED" w14:textId="77777777" w:rsidTr="00ED2B8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2CE030" w14:textId="77777777" w:rsidR="00766F24" w:rsidRPr="001D5B89" w:rsidRDefault="00000000" w:rsidP="006A05A1">
            <w:pPr>
              <w:pStyle w:val="Compact"/>
              <w:rPr>
                <w:rFonts w:ascii="Times New Roman" w:hAnsi="Times New Roman" w:cs="Times New Roman"/>
                <w:color w:val="000000" w:themeColor="text1"/>
                <w:sz w:val="22"/>
                <w:szCs w:val="22"/>
              </w:rPr>
            </w:pPr>
            <w:r w:rsidRPr="001D5B89">
              <w:rPr>
                <w:rFonts w:ascii="Times New Roman" w:hAnsi="Times New Roman" w:cs="Times New Roman"/>
                <w:color w:val="000000" w:themeColor="text1"/>
                <w:sz w:val="22"/>
                <w:szCs w:val="22"/>
              </w:rPr>
              <w:t>Feature</w:t>
            </w:r>
          </w:p>
        </w:tc>
        <w:tc>
          <w:tcPr>
            <w:tcW w:w="0" w:type="auto"/>
          </w:tcPr>
          <w:p w14:paraId="29A181AF" w14:textId="77777777" w:rsidR="00766F24" w:rsidRPr="001D5B89" w:rsidRDefault="00000000" w:rsidP="006A05A1">
            <w:pPr>
              <w:pStyle w:val="Compact"/>
              <w:rPr>
                <w:rFonts w:ascii="Times New Roman" w:hAnsi="Times New Roman" w:cs="Times New Roman"/>
                <w:color w:val="000000" w:themeColor="text1"/>
                <w:sz w:val="22"/>
                <w:szCs w:val="22"/>
              </w:rPr>
            </w:pPr>
            <w:r w:rsidRPr="001D5B89">
              <w:rPr>
                <w:rFonts w:ascii="Times New Roman" w:hAnsi="Times New Roman" w:cs="Times New Roman"/>
                <w:color w:val="000000" w:themeColor="text1"/>
                <w:sz w:val="22"/>
                <w:szCs w:val="22"/>
              </w:rPr>
              <w:t>Full Model</w:t>
            </w:r>
          </w:p>
        </w:tc>
        <w:tc>
          <w:tcPr>
            <w:tcW w:w="0" w:type="auto"/>
          </w:tcPr>
          <w:p w14:paraId="33F8CDCC" w14:textId="77777777" w:rsidR="00766F24" w:rsidRPr="001D5B89" w:rsidRDefault="00000000" w:rsidP="006A05A1">
            <w:pPr>
              <w:pStyle w:val="Compact"/>
              <w:rPr>
                <w:rFonts w:ascii="Times New Roman" w:hAnsi="Times New Roman" w:cs="Times New Roman"/>
                <w:color w:val="000000" w:themeColor="text1"/>
                <w:sz w:val="22"/>
                <w:szCs w:val="22"/>
              </w:rPr>
            </w:pPr>
            <w:r w:rsidRPr="001D5B89">
              <w:rPr>
                <w:rFonts w:ascii="Times New Roman" w:hAnsi="Times New Roman" w:cs="Times New Roman"/>
                <w:color w:val="000000" w:themeColor="text1"/>
                <w:sz w:val="22"/>
                <w:szCs w:val="22"/>
              </w:rPr>
              <w:t>Deployment Model</w:t>
            </w:r>
          </w:p>
        </w:tc>
      </w:tr>
      <w:tr w:rsidR="00D412E7" w:rsidRPr="00730655" w14:paraId="63260A40" w14:textId="77777777" w:rsidTr="00ED2B84">
        <w:trPr>
          <w:jc w:val="center"/>
        </w:trPr>
        <w:tc>
          <w:tcPr>
            <w:tcW w:w="0" w:type="auto"/>
          </w:tcPr>
          <w:p w14:paraId="5BCA789D"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landcover_class</w:t>
            </w:r>
            <w:proofErr w:type="spellEnd"/>
          </w:p>
        </w:tc>
        <w:tc>
          <w:tcPr>
            <w:tcW w:w="0" w:type="auto"/>
          </w:tcPr>
          <w:p w14:paraId="0182001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0.2169</w:t>
            </w:r>
          </w:p>
        </w:tc>
        <w:tc>
          <w:tcPr>
            <w:tcW w:w="0" w:type="auto"/>
          </w:tcPr>
          <w:p w14:paraId="73496EA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0.2953</w:t>
            </w:r>
          </w:p>
        </w:tc>
      </w:tr>
      <w:tr w:rsidR="00D412E7" w:rsidRPr="00730655" w14:paraId="5F16F460" w14:textId="77777777" w:rsidTr="00ED2B84">
        <w:trPr>
          <w:jc w:val="center"/>
        </w:trPr>
        <w:tc>
          <w:tcPr>
            <w:tcW w:w="0" w:type="auto"/>
          </w:tcPr>
          <w:p w14:paraId="4564370E"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ndvi</w:t>
            </w:r>
            <w:proofErr w:type="spellEnd"/>
          </w:p>
        </w:tc>
        <w:tc>
          <w:tcPr>
            <w:tcW w:w="0" w:type="auto"/>
          </w:tcPr>
          <w:p w14:paraId="30A0ECF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0.1787</w:t>
            </w:r>
          </w:p>
        </w:tc>
        <w:tc>
          <w:tcPr>
            <w:tcW w:w="0" w:type="auto"/>
          </w:tcPr>
          <w:p w14:paraId="28AF107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0.1746</w:t>
            </w:r>
          </w:p>
        </w:tc>
      </w:tr>
      <w:tr w:rsidR="00D412E7" w:rsidRPr="00730655" w14:paraId="64EE1261" w14:textId="77777777" w:rsidTr="00ED2B84">
        <w:trPr>
          <w:jc w:val="center"/>
        </w:trPr>
        <w:tc>
          <w:tcPr>
            <w:tcW w:w="0" w:type="auto"/>
          </w:tcPr>
          <w:p w14:paraId="0EA9F69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emissivity</w:t>
            </w:r>
          </w:p>
        </w:tc>
        <w:tc>
          <w:tcPr>
            <w:tcW w:w="0" w:type="auto"/>
          </w:tcPr>
          <w:p w14:paraId="2965F86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0.1560</w:t>
            </w:r>
          </w:p>
        </w:tc>
        <w:tc>
          <w:tcPr>
            <w:tcW w:w="0" w:type="auto"/>
          </w:tcPr>
          <w:p w14:paraId="47F6DFA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0.2467</w:t>
            </w:r>
          </w:p>
        </w:tc>
      </w:tr>
      <w:tr w:rsidR="00D412E7" w:rsidRPr="00730655" w14:paraId="4299530A" w14:textId="77777777" w:rsidTr="00ED2B84">
        <w:trPr>
          <w:jc w:val="center"/>
        </w:trPr>
        <w:tc>
          <w:tcPr>
            <w:tcW w:w="0" w:type="auto"/>
          </w:tcPr>
          <w:p w14:paraId="1C440CD9"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elevation_m</w:t>
            </w:r>
            <w:proofErr w:type="spellEnd"/>
          </w:p>
        </w:tc>
        <w:tc>
          <w:tcPr>
            <w:tcW w:w="0" w:type="auto"/>
          </w:tcPr>
          <w:p w14:paraId="79ADB31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0.0648</w:t>
            </w:r>
          </w:p>
        </w:tc>
        <w:tc>
          <w:tcPr>
            <w:tcW w:w="0" w:type="auto"/>
          </w:tcPr>
          <w:p w14:paraId="17BCD73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0.0746</w:t>
            </w:r>
          </w:p>
        </w:tc>
      </w:tr>
      <w:tr w:rsidR="00D412E7" w:rsidRPr="00730655" w14:paraId="38430AF6" w14:textId="77777777" w:rsidTr="00ED2B84">
        <w:trPr>
          <w:jc w:val="center"/>
        </w:trPr>
        <w:tc>
          <w:tcPr>
            <w:tcW w:w="0" w:type="auto"/>
          </w:tcPr>
          <w:p w14:paraId="0F137C5B"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pct_vegetation</w:t>
            </w:r>
            <w:proofErr w:type="spellEnd"/>
          </w:p>
        </w:tc>
        <w:tc>
          <w:tcPr>
            <w:tcW w:w="0" w:type="auto"/>
          </w:tcPr>
          <w:p w14:paraId="79965ABD"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0.0572</w:t>
            </w:r>
          </w:p>
        </w:tc>
        <w:tc>
          <w:tcPr>
            <w:tcW w:w="0" w:type="auto"/>
          </w:tcPr>
          <w:p w14:paraId="182400E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2595763F" w14:textId="77777777" w:rsidTr="00ED2B84">
        <w:trPr>
          <w:jc w:val="center"/>
        </w:trPr>
        <w:tc>
          <w:tcPr>
            <w:tcW w:w="0" w:type="auto"/>
          </w:tcPr>
          <w:p w14:paraId="7F085AED"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pct_water</w:t>
            </w:r>
            <w:proofErr w:type="spellEnd"/>
          </w:p>
        </w:tc>
        <w:tc>
          <w:tcPr>
            <w:tcW w:w="0" w:type="auto"/>
          </w:tcPr>
          <w:p w14:paraId="7E9534F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0.0413</w:t>
            </w:r>
          </w:p>
        </w:tc>
        <w:tc>
          <w:tcPr>
            <w:tcW w:w="0" w:type="auto"/>
          </w:tcPr>
          <w:p w14:paraId="3D1D3C0C"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7E195D21" w14:textId="77777777" w:rsidTr="00ED2B84">
        <w:trPr>
          <w:jc w:val="center"/>
        </w:trPr>
        <w:tc>
          <w:tcPr>
            <w:tcW w:w="0" w:type="auto"/>
          </w:tcPr>
          <w:p w14:paraId="71E61936"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pct_sky</w:t>
            </w:r>
            <w:proofErr w:type="spellEnd"/>
          </w:p>
        </w:tc>
        <w:tc>
          <w:tcPr>
            <w:tcW w:w="0" w:type="auto"/>
          </w:tcPr>
          <w:p w14:paraId="2362340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0.0355</w:t>
            </w:r>
          </w:p>
        </w:tc>
        <w:tc>
          <w:tcPr>
            <w:tcW w:w="0" w:type="auto"/>
          </w:tcPr>
          <w:p w14:paraId="097239A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6462C460" w14:textId="77777777" w:rsidTr="00ED2B84">
        <w:trPr>
          <w:jc w:val="center"/>
        </w:trPr>
        <w:tc>
          <w:tcPr>
            <w:tcW w:w="0" w:type="auto"/>
          </w:tcPr>
          <w:p w14:paraId="2E16A90F"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palsar_hh_db</w:t>
            </w:r>
            <w:proofErr w:type="spellEnd"/>
          </w:p>
        </w:tc>
        <w:tc>
          <w:tcPr>
            <w:tcW w:w="0" w:type="auto"/>
          </w:tcPr>
          <w:p w14:paraId="366077D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0.0342</w:t>
            </w:r>
          </w:p>
        </w:tc>
        <w:tc>
          <w:tcPr>
            <w:tcW w:w="0" w:type="auto"/>
          </w:tcPr>
          <w:p w14:paraId="2DE279AE"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0.0416</w:t>
            </w:r>
          </w:p>
        </w:tc>
      </w:tr>
      <w:tr w:rsidR="00D412E7" w:rsidRPr="00730655" w14:paraId="1D54F031" w14:textId="77777777" w:rsidTr="00ED2B84">
        <w:trPr>
          <w:jc w:val="center"/>
        </w:trPr>
        <w:tc>
          <w:tcPr>
            <w:tcW w:w="0" w:type="auto"/>
          </w:tcPr>
          <w:p w14:paraId="3C14919C"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pct_building</w:t>
            </w:r>
            <w:proofErr w:type="spellEnd"/>
          </w:p>
        </w:tc>
        <w:tc>
          <w:tcPr>
            <w:tcW w:w="0" w:type="auto"/>
          </w:tcPr>
          <w:p w14:paraId="7C22D56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0.0305</w:t>
            </w:r>
          </w:p>
        </w:tc>
        <w:tc>
          <w:tcPr>
            <w:tcW w:w="0" w:type="auto"/>
          </w:tcPr>
          <w:p w14:paraId="5F60BD8F"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78C76EA8" w14:textId="77777777" w:rsidTr="00ED2B84">
        <w:trPr>
          <w:jc w:val="center"/>
        </w:trPr>
        <w:tc>
          <w:tcPr>
            <w:tcW w:w="0" w:type="auto"/>
          </w:tcPr>
          <w:p w14:paraId="5E8F4816"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sky_view_factor</w:t>
            </w:r>
            <w:proofErr w:type="spellEnd"/>
          </w:p>
        </w:tc>
        <w:tc>
          <w:tcPr>
            <w:tcW w:w="0" w:type="auto"/>
          </w:tcPr>
          <w:p w14:paraId="39CD6E5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0.0289</w:t>
            </w:r>
          </w:p>
        </w:tc>
        <w:tc>
          <w:tcPr>
            <w:tcW w:w="0" w:type="auto"/>
          </w:tcPr>
          <w:p w14:paraId="190F3DED"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0.0366</w:t>
            </w:r>
          </w:p>
        </w:tc>
      </w:tr>
    </w:tbl>
    <w:p w14:paraId="15ED20C4"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The dominant predictors were consistent across both models. Landcover class, NDVI, and emissivity ranked highest, together accounting for over 55% of predictive power. In the full model, GSV-derived streetscape </w:t>
      </w:r>
      <w:r w:rsidRPr="00730655">
        <w:rPr>
          <w:rFonts w:ascii="Times New Roman" w:hAnsi="Times New Roman" w:cs="Times New Roman"/>
          <w:color w:val="000000" w:themeColor="text1"/>
          <w:sz w:val="22"/>
          <w:szCs w:val="22"/>
        </w:rPr>
        <w:lastRenderedPageBreak/>
        <w:t>variables (vegetation, water, sky percentages) contributed additional explanatory signal, ranking within the top 10 features.</w:t>
      </w:r>
    </w:p>
    <w:p w14:paraId="450EAAE3" w14:textId="77777777" w:rsidR="00766F24" w:rsidRPr="00730655" w:rsidRDefault="00000000" w:rsidP="006A05A1">
      <w:pPr>
        <w:pStyle w:val="Heading2"/>
      </w:pPr>
      <w:bookmarkStart w:id="18" w:name="node-prediction-coverage"/>
      <w:bookmarkEnd w:id="17"/>
      <w:r w:rsidRPr="00730655">
        <w:t>Node Prediction Coverage</w:t>
      </w:r>
    </w:p>
    <w:p w14:paraId="3D48B2AE"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76C6AAA5" wp14:editId="321D0D4A">
            <wp:extent cx="3657600" cy="3657600"/>
            <wp:effectExtent l="0" t="0" r="0" b="0"/>
            <wp:docPr id="52" name="Picture" descr="LST Observed vs. Predicted Scatter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images/LST_observed_predicted.png"/>
                    <pic:cNvPicPr>
                      <a:picLocks noChangeAspect="1" noChangeArrowheads="1"/>
                    </pic:cNvPicPr>
                  </pic:nvPicPr>
                  <pic:blipFill>
                    <a:blip r:embed="rId9"/>
                    <a:stretch>
                      <a:fillRect/>
                    </a:stretch>
                  </pic:blipFill>
                  <pic:spPr bwMode="auto">
                    <a:xfrm>
                      <a:off x="0" y="0"/>
                      <a:ext cx="3657600" cy="3657600"/>
                    </a:xfrm>
                    <a:prstGeom prst="rect">
                      <a:avLst/>
                    </a:prstGeom>
                    <a:noFill/>
                    <a:ln w="9525">
                      <a:noFill/>
                      <a:headEnd/>
                      <a:tailEnd/>
                    </a:ln>
                  </pic:spPr>
                </pic:pic>
              </a:graphicData>
            </a:graphic>
          </wp:inline>
        </w:drawing>
      </w:r>
    </w:p>
    <w:p w14:paraId="28FB95DA" w14:textId="77777777" w:rsidR="00766F24" w:rsidRPr="00730655"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LST Observed vs. Predicted Scatter Plot</w:t>
      </w:r>
    </w:p>
    <w:p w14:paraId="56B0A176"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lastRenderedPageBreak/>
        <w:drawing>
          <wp:inline distT="0" distB="0" distL="0" distR="0" wp14:anchorId="55FA1C83" wp14:editId="5200247D">
            <wp:extent cx="5184648" cy="1828800"/>
            <wp:effectExtent l="0" t="0" r="0" b="0"/>
            <wp:docPr id="55" name="Picture" descr="LST Predicted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descr="images/LST_distribution.png"/>
                    <pic:cNvPicPr>
                      <a:picLocks noChangeAspect="1" noChangeArrowheads="1"/>
                    </pic:cNvPicPr>
                  </pic:nvPicPr>
                  <pic:blipFill>
                    <a:blip r:embed="rId10"/>
                    <a:stretch>
                      <a:fillRect/>
                    </a:stretch>
                  </pic:blipFill>
                  <pic:spPr bwMode="auto">
                    <a:xfrm>
                      <a:off x="0" y="0"/>
                      <a:ext cx="5184648" cy="1828800"/>
                    </a:xfrm>
                    <a:prstGeom prst="rect">
                      <a:avLst/>
                    </a:prstGeom>
                    <a:noFill/>
                    <a:ln w="9525">
                      <a:noFill/>
                      <a:headEnd/>
                      <a:tailEnd/>
                    </a:ln>
                  </pic:spPr>
                </pic:pic>
              </a:graphicData>
            </a:graphic>
          </wp:inline>
        </w:drawing>
      </w:r>
    </w:p>
    <w:p w14:paraId="180B539D"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57E9AE15" wp14:editId="7F9AE799">
            <wp:extent cx="3657600" cy="2816352"/>
            <wp:effectExtent l="0" t="0" r="0" b="0"/>
            <wp:docPr id="58" name="Picture" descr="LST Predicted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descr="images/LST_predicted_map.png"/>
                    <pic:cNvPicPr>
                      <a:picLocks noChangeAspect="1" noChangeArrowheads="1"/>
                    </pic:cNvPicPr>
                  </pic:nvPicPr>
                  <pic:blipFill>
                    <a:blip r:embed="rId11"/>
                    <a:stretch>
                      <a:fillRect/>
                    </a:stretch>
                  </pic:blipFill>
                  <pic:spPr bwMode="auto">
                    <a:xfrm>
                      <a:off x="0" y="0"/>
                      <a:ext cx="3657600" cy="2816352"/>
                    </a:xfrm>
                    <a:prstGeom prst="rect">
                      <a:avLst/>
                    </a:prstGeom>
                    <a:noFill/>
                    <a:ln w="9525">
                      <a:noFill/>
                      <a:headEnd/>
                      <a:tailEnd/>
                    </a:ln>
                  </pic:spPr>
                </pic:pic>
              </a:graphicData>
            </a:graphic>
          </wp:inline>
        </w:drawing>
      </w:r>
    </w:p>
    <w:p w14:paraId="05936569" w14:textId="77777777" w:rsidR="00766F24"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LST Predicted Map</w:t>
      </w:r>
    </w:p>
    <w:p w14:paraId="74F39695" w14:textId="6836D924" w:rsidR="00B63B0B" w:rsidRPr="00B63B0B" w:rsidRDefault="00B63B0B" w:rsidP="006A05A1">
      <w:pPr>
        <w:pStyle w:val="ImageCaption"/>
        <w:rPr>
          <w:rFonts w:ascii="Times New Roman" w:hAnsi="Times New Roman" w:cs="Times New Roman"/>
          <w:i w:val="0"/>
          <w:iCs/>
          <w:color w:val="000000" w:themeColor="text1"/>
          <w:sz w:val="22"/>
          <w:szCs w:val="22"/>
        </w:rPr>
      </w:pPr>
      <w:r w:rsidRPr="00B63B0B">
        <w:rPr>
          <w:rFonts w:ascii="Times New Roman" w:hAnsi="Times New Roman" w:cs="Times New Roman"/>
          <w:i w:val="0"/>
          <w:iCs/>
          <w:color w:val="000000" w:themeColor="text1"/>
          <w:sz w:val="22"/>
          <w:szCs w:val="22"/>
        </w:rPr>
        <w:t xml:space="preserve">This mean-reverting behavior has critical implications for applying the model to environments outside the training distribution, particularly areas with significant open space, non-tree greenery </w:t>
      </w:r>
      <w:r>
        <w:rPr>
          <w:rFonts w:ascii="Times New Roman" w:hAnsi="Times New Roman" w:cs="Times New Roman"/>
          <w:i w:val="0"/>
          <w:iCs/>
          <w:color w:val="000000" w:themeColor="text1"/>
          <w:sz w:val="22"/>
          <w:szCs w:val="22"/>
        </w:rPr>
        <w:t>like grass fields</w:t>
      </w:r>
      <w:r w:rsidRPr="00B63B0B">
        <w:rPr>
          <w:rFonts w:ascii="Times New Roman" w:hAnsi="Times New Roman" w:cs="Times New Roman"/>
          <w:i w:val="0"/>
          <w:iCs/>
          <w:color w:val="000000" w:themeColor="text1"/>
          <w:sz w:val="22"/>
          <w:szCs w:val="22"/>
        </w:rPr>
        <w:t>, or non-clustered buildings</w:t>
      </w:r>
      <w:r>
        <w:rPr>
          <w:rFonts w:ascii="Times New Roman" w:hAnsi="Times New Roman" w:cs="Times New Roman"/>
          <w:i w:val="0"/>
          <w:iCs/>
          <w:color w:val="000000" w:themeColor="text1"/>
          <w:sz w:val="22"/>
          <w:szCs w:val="22"/>
        </w:rPr>
        <w:t xml:space="preserve">. </w:t>
      </w:r>
      <w:r w:rsidRPr="00B63B0B">
        <w:rPr>
          <w:rFonts w:ascii="Times New Roman" w:hAnsi="Times New Roman" w:cs="Times New Roman"/>
          <w:i w:val="0"/>
          <w:iCs/>
          <w:color w:val="000000" w:themeColor="text1"/>
          <w:sz w:val="22"/>
          <w:szCs w:val="22"/>
        </w:rPr>
        <w:t xml:space="preserve">The model was trained primarily on the complex street canyon geometry of HCMC's central districts. It may struggle to fully capture the cooling effect of large, continuous patches of greenery and open spaces because these structures were not the dominant features in the training data's morphology. Consequently, it is likely to over-predict the LST in these large, cool areas, pushing the prediction closer to the </w:t>
      </w:r>
      <w:r>
        <w:rPr>
          <w:rFonts w:ascii="Times New Roman" w:hAnsi="Times New Roman" w:cs="Times New Roman"/>
          <w:i w:val="0"/>
          <w:iCs/>
          <w:color w:val="000000" w:themeColor="text1"/>
          <w:sz w:val="22"/>
          <w:szCs w:val="22"/>
        </w:rPr>
        <w:t xml:space="preserve">mean </w:t>
      </w:r>
      <w:r w:rsidRPr="00B63B0B">
        <w:rPr>
          <w:rFonts w:ascii="Times New Roman" w:hAnsi="Times New Roman" w:cs="Times New Roman"/>
          <w:i w:val="0"/>
          <w:iCs/>
          <w:color w:val="000000" w:themeColor="text1"/>
          <w:sz w:val="22"/>
          <w:szCs w:val="22"/>
        </w:rPr>
        <w:t>and failing to accurately capture the full range of low temperatures achievable in those settings.</w:t>
      </w:r>
    </w:p>
    <w:p w14:paraId="02A6298A" w14:textId="77777777" w:rsidR="00766F24" w:rsidRPr="00730655" w:rsidRDefault="00000000" w:rsidP="006A05A1">
      <w:pPr>
        <w:pStyle w:val="Heading2"/>
      </w:pPr>
      <w:bookmarkStart w:id="19" w:name="routing-outcomes"/>
      <w:bookmarkEnd w:id="18"/>
      <w:r w:rsidRPr="00730655">
        <w:t>Routing Outcomes</w:t>
      </w:r>
    </w:p>
    <w:p w14:paraId="3B94560B"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coolest route increases travel distance but reduces both mean and peak exposure, demonstrating tangible potential for heat-resilient mobility guidance. The hottest route identifies corridors of maximum heat exposure—priority candidates for infrastructure intervention.</w:t>
      </w:r>
    </w:p>
    <w:p w14:paraId="04AB7EB8"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lastRenderedPageBreak/>
        <w:drawing>
          <wp:inline distT="0" distB="0" distL="0" distR="0" wp14:anchorId="5EBC0A43" wp14:editId="7B226BE1">
            <wp:extent cx="3657600" cy="2404872"/>
            <wp:effectExtent l="0" t="0" r="0" b="0"/>
            <wp:docPr id="65" name="Picture" descr="Dijkstra Routes: Hottest, Coolest, and Sho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descr="images/routes.png"/>
                    <pic:cNvPicPr>
                      <a:picLocks noChangeAspect="1" noChangeArrowheads="1"/>
                    </pic:cNvPicPr>
                  </pic:nvPicPr>
                  <pic:blipFill>
                    <a:blip r:embed="rId12"/>
                    <a:stretch>
                      <a:fillRect/>
                    </a:stretch>
                  </pic:blipFill>
                  <pic:spPr bwMode="auto">
                    <a:xfrm>
                      <a:off x="0" y="0"/>
                      <a:ext cx="3657600" cy="2404872"/>
                    </a:xfrm>
                    <a:prstGeom prst="rect">
                      <a:avLst/>
                    </a:prstGeom>
                    <a:noFill/>
                    <a:ln w="9525">
                      <a:noFill/>
                      <a:headEnd/>
                      <a:tailEnd/>
                    </a:ln>
                  </pic:spPr>
                </pic:pic>
              </a:graphicData>
            </a:graphic>
          </wp:inline>
        </w:drawing>
      </w:r>
    </w:p>
    <w:p w14:paraId="42290281" w14:textId="77777777" w:rsidR="00766F24" w:rsidRPr="00730655"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Dijkstra Routes: Hottest, Coolest, and Shortest</w:t>
      </w:r>
    </w:p>
    <w:p w14:paraId="3A51E867"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04285A0A" wp14:editId="536D0EEC">
            <wp:extent cx="3657600" cy="2377440"/>
            <wp:effectExtent l="0" t="0" r="0" b="0"/>
            <wp:docPr id="68" name="Picture" descr="Rout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descr="images/carto_map.png"/>
                    <pic:cNvPicPr>
                      <a:picLocks noChangeAspect="1" noChangeArrowheads="1"/>
                    </pic:cNvPicPr>
                  </pic:nvPicPr>
                  <pic:blipFill>
                    <a:blip r:embed="rId13"/>
                    <a:stretch>
                      <a:fillRect/>
                    </a:stretch>
                  </pic:blipFill>
                  <pic:spPr bwMode="auto">
                    <a:xfrm>
                      <a:off x="0" y="0"/>
                      <a:ext cx="3657600" cy="2377440"/>
                    </a:xfrm>
                    <a:prstGeom prst="rect">
                      <a:avLst/>
                    </a:prstGeom>
                    <a:noFill/>
                    <a:ln w="9525">
                      <a:noFill/>
                      <a:headEnd/>
                      <a:tailEnd/>
                    </a:ln>
                  </pic:spPr>
                </pic:pic>
              </a:graphicData>
            </a:graphic>
          </wp:inline>
        </w:drawing>
      </w:r>
    </w:p>
    <w:p w14:paraId="02237EA5" w14:textId="77777777" w:rsidR="00766F24" w:rsidRPr="00730655" w:rsidRDefault="00000000" w:rsidP="006A05A1">
      <w:pPr>
        <w:pStyle w:val="Tabl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Routing Results</w:t>
      </w:r>
    </w:p>
    <w:tbl>
      <w:tblPr>
        <w:tblStyle w:val="Table"/>
        <w:tblW w:w="0" w:type="auto"/>
        <w:jc w:val="center"/>
        <w:tblLook w:val="0020" w:firstRow="1" w:lastRow="0" w:firstColumn="0" w:lastColumn="0" w:noHBand="0" w:noVBand="0"/>
      </w:tblPr>
      <w:tblGrid>
        <w:gridCol w:w="938"/>
        <w:gridCol w:w="1469"/>
        <w:gridCol w:w="1408"/>
        <w:gridCol w:w="1579"/>
      </w:tblGrid>
      <w:tr w:rsidR="00D412E7" w:rsidRPr="00730655" w14:paraId="304AF048" w14:textId="77777777" w:rsidTr="0076029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6BE266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Route</w:t>
            </w:r>
          </w:p>
        </w:tc>
        <w:tc>
          <w:tcPr>
            <w:tcW w:w="0" w:type="auto"/>
          </w:tcPr>
          <w:p w14:paraId="67D3380C"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Distance (km)</w:t>
            </w:r>
          </w:p>
        </w:tc>
        <w:tc>
          <w:tcPr>
            <w:tcW w:w="0" w:type="auto"/>
          </w:tcPr>
          <w:p w14:paraId="2D1A08E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Average LST</w:t>
            </w:r>
          </w:p>
        </w:tc>
        <w:tc>
          <w:tcPr>
            <w:tcW w:w="0" w:type="auto"/>
          </w:tcPr>
          <w:p w14:paraId="5AD4C9B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Maximum LST</w:t>
            </w:r>
          </w:p>
        </w:tc>
      </w:tr>
      <w:tr w:rsidR="00D412E7" w:rsidRPr="00730655" w14:paraId="44C55C98" w14:textId="77777777" w:rsidTr="0076029F">
        <w:trPr>
          <w:jc w:val="center"/>
        </w:trPr>
        <w:tc>
          <w:tcPr>
            <w:tcW w:w="0" w:type="auto"/>
          </w:tcPr>
          <w:p w14:paraId="45F0D797"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Shortest</w:t>
            </w:r>
          </w:p>
        </w:tc>
        <w:tc>
          <w:tcPr>
            <w:tcW w:w="0" w:type="auto"/>
          </w:tcPr>
          <w:p w14:paraId="438BA91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22.00</w:t>
            </w:r>
          </w:p>
        </w:tc>
        <w:tc>
          <w:tcPr>
            <w:tcW w:w="0" w:type="auto"/>
          </w:tcPr>
          <w:p w14:paraId="5FE31DD7"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40.63°C</w:t>
            </w:r>
          </w:p>
        </w:tc>
        <w:tc>
          <w:tcPr>
            <w:tcW w:w="0" w:type="auto"/>
          </w:tcPr>
          <w:p w14:paraId="26FCA15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45.41°C</w:t>
            </w:r>
          </w:p>
        </w:tc>
      </w:tr>
      <w:tr w:rsidR="00D412E7" w:rsidRPr="00730655" w14:paraId="6E009701" w14:textId="77777777" w:rsidTr="0076029F">
        <w:trPr>
          <w:jc w:val="center"/>
        </w:trPr>
        <w:tc>
          <w:tcPr>
            <w:tcW w:w="0" w:type="auto"/>
          </w:tcPr>
          <w:p w14:paraId="627E0796"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Coolest</w:t>
            </w:r>
          </w:p>
        </w:tc>
        <w:tc>
          <w:tcPr>
            <w:tcW w:w="0" w:type="auto"/>
          </w:tcPr>
          <w:p w14:paraId="17F5F39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27.83</w:t>
            </w:r>
          </w:p>
        </w:tc>
        <w:tc>
          <w:tcPr>
            <w:tcW w:w="0" w:type="auto"/>
          </w:tcPr>
          <w:p w14:paraId="518DAEA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40.20°C</w:t>
            </w:r>
          </w:p>
        </w:tc>
        <w:tc>
          <w:tcPr>
            <w:tcW w:w="0" w:type="auto"/>
          </w:tcPr>
          <w:p w14:paraId="43715617"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43.95°C</w:t>
            </w:r>
          </w:p>
        </w:tc>
      </w:tr>
      <w:tr w:rsidR="00D412E7" w:rsidRPr="00730655" w14:paraId="18EF9E80" w14:textId="77777777" w:rsidTr="0076029F">
        <w:trPr>
          <w:jc w:val="center"/>
        </w:trPr>
        <w:tc>
          <w:tcPr>
            <w:tcW w:w="0" w:type="auto"/>
          </w:tcPr>
          <w:p w14:paraId="27ADFBB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Hottest</w:t>
            </w:r>
          </w:p>
        </w:tc>
        <w:tc>
          <w:tcPr>
            <w:tcW w:w="0" w:type="auto"/>
          </w:tcPr>
          <w:p w14:paraId="589EB38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27.38</w:t>
            </w:r>
          </w:p>
        </w:tc>
        <w:tc>
          <w:tcPr>
            <w:tcW w:w="0" w:type="auto"/>
          </w:tcPr>
          <w:p w14:paraId="5B59711E"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40.40°C</w:t>
            </w:r>
          </w:p>
        </w:tc>
        <w:tc>
          <w:tcPr>
            <w:tcW w:w="0" w:type="auto"/>
          </w:tcPr>
          <w:p w14:paraId="1155858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43.95°C</w:t>
            </w:r>
          </w:p>
        </w:tc>
      </w:tr>
    </w:tbl>
    <w:p w14:paraId="3BA058E9"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coolest route adds 5.83 km (26.5% distance penalty) to reduce average temperature by 0.43°C. This trade-off highlights why infrastructure investment matters more than individual route choice—residents should not bear a 26% distance penalty to marginally reduce heat exposure.</w:t>
      </w:r>
    </w:p>
    <w:p w14:paraId="117FB645" w14:textId="77777777" w:rsidR="00766F24" w:rsidRPr="00730655" w:rsidRDefault="00000000" w:rsidP="006A05A1">
      <w:pPr>
        <w:pStyle w:val="Heading1"/>
      </w:pPr>
      <w:bookmarkStart w:id="20" w:name="v.-discussion-and-limitations"/>
      <w:bookmarkEnd w:id="13"/>
      <w:bookmarkEnd w:id="19"/>
      <w:r w:rsidRPr="00730655">
        <w:t>V. Discussion and Limitations</w:t>
      </w:r>
    </w:p>
    <w:p w14:paraId="12D39BC5" w14:textId="6440E1BC" w:rsidR="007767B9"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Hot Hẻm demonstrates a scalable approach for integrating human-scale streetscape morphology with city-scale remote sensing to operationalize pedestrian heat risk. The deployment model achieves R² of 0.69 on the </w:t>
      </w:r>
      <w:proofErr w:type="gramStart"/>
      <w:r w:rsidRPr="00730655">
        <w:rPr>
          <w:rFonts w:ascii="Times New Roman" w:hAnsi="Times New Roman" w:cs="Times New Roman"/>
          <w:color w:val="000000" w:themeColor="text1"/>
          <w:sz w:val="22"/>
          <w:szCs w:val="22"/>
        </w:rPr>
        <w:t>held-out</w:t>
      </w:r>
      <w:proofErr w:type="gramEnd"/>
      <w:r w:rsidRPr="00730655">
        <w:rPr>
          <w:rFonts w:ascii="Times New Roman" w:hAnsi="Times New Roman" w:cs="Times New Roman"/>
          <w:color w:val="000000" w:themeColor="text1"/>
          <w:sz w:val="22"/>
          <w:szCs w:val="22"/>
        </w:rPr>
        <w:t xml:space="preserve"> An Phú ward, with predictions typically within 0.61°C (MAE) of observed LST, demonstrating robust generalization to unseen areas.</w:t>
      </w:r>
      <w:r w:rsidR="00321C0A">
        <w:rPr>
          <w:rFonts w:ascii="Times New Roman" w:hAnsi="Times New Roman" w:cs="Times New Roman"/>
          <w:color w:val="000000" w:themeColor="text1"/>
          <w:sz w:val="22"/>
          <w:szCs w:val="22"/>
        </w:rPr>
        <w:t xml:space="preserve"> However, there are significant limitations for the future</w:t>
      </w:r>
      <w:r w:rsidR="007767B9">
        <w:rPr>
          <w:rFonts w:ascii="Times New Roman" w:hAnsi="Times New Roman" w:cs="Times New Roman"/>
          <w:color w:val="000000" w:themeColor="text1"/>
          <w:sz w:val="22"/>
          <w:szCs w:val="22"/>
        </w:rPr>
        <w:t>.</w:t>
      </w:r>
    </w:p>
    <w:p w14:paraId="05C185B4" w14:textId="7ED6D5C3"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Some areas with unique urban morphology are harder to predict, and the model may underperform in wards that differ substantially from the training distribution (Middel et al., 2019)</w:t>
      </w:r>
      <w:r w:rsidR="00331875">
        <w:rPr>
          <w:rFonts w:ascii="Times New Roman" w:hAnsi="Times New Roman" w:cs="Times New Roman"/>
          <w:color w:val="000000" w:themeColor="text1"/>
          <w:sz w:val="22"/>
          <w:szCs w:val="22"/>
        </w:rPr>
        <w:t>;</w:t>
      </w:r>
      <w:r w:rsidR="00331875">
        <w:rPr>
          <w:rFonts w:ascii="Times New Roman" w:hAnsi="Times New Roman" w:cs="Times New Roman"/>
          <w:b/>
          <w:bCs/>
          <w:color w:val="000000" w:themeColor="text1"/>
          <w:sz w:val="22"/>
          <w:szCs w:val="22"/>
        </w:rPr>
        <w:t xml:space="preserve"> </w:t>
      </w:r>
      <w:r w:rsidR="00331875" w:rsidRPr="007767B9">
        <w:rPr>
          <w:rFonts w:ascii="Times New Roman" w:hAnsi="Times New Roman" w:cs="Times New Roman"/>
          <w:color w:val="000000" w:themeColor="text1"/>
          <w:sz w:val="22"/>
          <w:szCs w:val="22"/>
        </w:rPr>
        <w:t>GSV</w:t>
      </w:r>
      <w:r w:rsidR="00331875">
        <w:rPr>
          <w:rFonts w:ascii="Times New Roman" w:hAnsi="Times New Roman" w:cs="Times New Roman"/>
          <w:b/>
          <w:bCs/>
          <w:color w:val="000000" w:themeColor="text1"/>
          <w:sz w:val="22"/>
          <w:szCs w:val="22"/>
        </w:rPr>
        <w:t xml:space="preserve"> </w:t>
      </w:r>
      <w:r w:rsidRPr="00730655">
        <w:rPr>
          <w:rFonts w:ascii="Times New Roman" w:hAnsi="Times New Roman" w:cs="Times New Roman"/>
          <w:color w:val="000000" w:themeColor="text1"/>
          <w:sz w:val="22"/>
          <w:szCs w:val="22"/>
        </w:rPr>
        <w:t xml:space="preserve">images were captured at various times over several years, while Landsat composites represent dry-season 2023–2025 maximum temperatures. </w:t>
      </w:r>
      <w:r w:rsidRPr="00730655">
        <w:rPr>
          <w:rFonts w:ascii="Times New Roman" w:hAnsi="Times New Roman" w:cs="Times New Roman"/>
          <w:color w:val="000000" w:themeColor="text1"/>
          <w:sz w:val="22"/>
          <w:szCs w:val="22"/>
        </w:rPr>
        <w:lastRenderedPageBreak/>
        <w:t>Street conditions (e.g., tree canopy, construction) may have changed between GSV capture and satellite observation</w:t>
      </w:r>
      <w:r w:rsidR="00331875">
        <w:rPr>
          <w:rFonts w:ascii="Times New Roman" w:hAnsi="Times New Roman" w:cs="Times New Roman"/>
          <w:color w:val="000000" w:themeColor="text1"/>
          <w:sz w:val="22"/>
          <w:szCs w:val="22"/>
        </w:rPr>
        <w:t>;</w:t>
      </w:r>
      <w:r w:rsidRPr="00730655">
        <w:rPr>
          <w:rFonts w:ascii="Times New Roman" w:hAnsi="Times New Roman" w:cs="Times New Roman"/>
          <w:color w:val="000000" w:themeColor="text1"/>
          <w:sz w:val="22"/>
          <w:szCs w:val="22"/>
        </w:rPr>
        <w:t xml:space="preserve"> sky view factor derived from the 30m terrain DSM captures topographic effects but does not fully represent urban canyon geometry at the street level</w:t>
      </w:r>
      <w:r w:rsidR="00331875">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current heat-category thresholds skew heavily toward “Hot / Very Hot,” suggesting that categorical calibration (e.g., quantile-based or health-relevant thresholds) should be refined.</w:t>
      </w:r>
    </w:p>
    <w:p w14:paraId="6C32F300" w14:textId="77777777" w:rsidR="00766F24" w:rsidRPr="00730655" w:rsidRDefault="00000000" w:rsidP="006A05A1">
      <w:pPr>
        <w:pStyle w:val="Heading1"/>
      </w:pPr>
      <w:bookmarkStart w:id="21" w:name="vi.-conclusion"/>
      <w:bookmarkEnd w:id="20"/>
      <w:r w:rsidRPr="00730655">
        <w:t>VI. Conclusion</w:t>
      </w:r>
    </w:p>
    <w:p w14:paraId="79A13212"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This project delivers a reproducible, multi-scale GeoAI pipeline for heat-weighted pedestrian routing in Ho Chi Minh City. By combining GSV-derived segmentation indices with Landsat thermal variables, JAXA SAR structure, and DSM terrain context, the framework achieves strong predictive accuracy (holdout R² = 0.70, MAE = 0.6°C) and enables practical routing alternatives that identify heat exposure corridors.</w:t>
      </w:r>
    </w:p>
    <w:p w14:paraId="380ACC1C"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The key insight is methodological: rather than helping individuals escape heat, the hottest route optimization identifies where pedestrians suffer most, providing municipalities with actionable data for infrastructure intervention. The 26% distance penalty imposed by the coolest route demonstrates that heat avoidance should not be framed as individual </w:t>
      </w:r>
      <w:proofErr w:type="gramStart"/>
      <w:r w:rsidRPr="00730655">
        <w:rPr>
          <w:rFonts w:ascii="Times New Roman" w:hAnsi="Times New Roman" w:cs="Times New Roman"/>
          <w:color w:val="000000" w:themeColor="text1"/>
          <w:sz w:val="22"/>
          <w:szCs w:val="22"/>
        </w:rPr>
        <w:t>responsibility—</w:t>
      </w:r>
      <w:proofErr w:type="gramEnd"/>
      <w:r w:rsidRPr="00730655">
        <w:rPr>
          <w:rFonts w:ascii="Times New Roman" w:hAnsi="Times New Roman" w:cs="Times New Roman"/>
          <w:color w:val="000000" w:themeColor="text1"/>
          <w:sz w:val="22"/>
          <w:szCs w:val="22"/>
        </w:rPr>
        <w:t>it is a systemic infrastructure challenge requiring public investment. It should be noted that GSV imagery contains copyright restrictions forbidding their implementations in building applications, so granular streetscape imagery would need to be manually obtained or downloaded from open-source material.</w:t>
      </w:r>
    </w:p>
    <w:p w14:paraId="1145137C" w14:textId="3B4EF671"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Future extensions should include multi-ward holdout testing, threshold calibration using health-relevant cutoffs, multi-season or diurnal modeling, weather data, uncertainty-aware routing</w:t>
      </w:r>
      <w:r w:rsidR="003A7577">
        <w:rPr>
          <w:rFonts w:ascii="Times New Roman" w:hAnsi="Times New Roman" w:cs="Times New Roman"/>
          <w:color w:val="000000" w:themeColor="text1"/>
          <w:sz w:val="22"/>
          <w:szCs w:val="22"/>
        </w:rPr>
        <w:t>, and Meta’s tree canopy height data</w:t>
      </w:r>
      <w:r w:rsidR="00E626F5">
        <w:rPr>
          <w:rFonts w:ascii="Times New Roman" w:hAnsi="Times New Roman" w:cs="Times New Roman"/>
          <w:color w:val="000000" w:themeColor="text1"/>
          <w:sz w:val="22"/>
          <w:szCs w:val="22"/>
        </w:rPr>
        <w:t xml:space="preserve"> (Tolan et al., 2023)</w:t>
      </w:r>
      <w:r w:rsidR="003A7577">
        <w:rPr>
          <w:rFonts w:ascii="Times New Roman" w:hAnsi="Times New Roman" w:cs="Times New Roman"/>
          <w:color w:val="000000" w:themeColor="text1"/>
          <w:sz w:val="22"/>
          <w:szCs w:val="22"/>
        </w:rPr>
        <w:t xml:space="preserve">, and </w:t>
      </w:r>
      <w:r w:rsidR="00B22157">
        <w:rPr>
          <w:rFonts w:ascii="Times New Roman" w:hAnsi="Times New Roman" w:cs="Times New Roman"/>
          <w:color w:val="000000" w:themeColor="text1"/>
          <w:sz w:val="22"/>
          <w:szCs w:val="22"/>
        </w:rPr>
        <w:t>Global Building Atlas’ 3D dataset</w:t>
      </w:r>
      <w:r w:rsidR="00E626F5">
        <w:rPr>
          <w:rFonts w:ascii="Times New Roman" w:hAnsi="Times New Roman" w:cs="Times New Roman"/>
          <w:color w:val="000000" w:themeColor="text1"/>
          <w:sz w:val="22"/>
          <w:szCs w:val="22"/>
        </w:rPr>
        <w:t xml:space="preserve"> (Zhu et al., 2025)</w:t>
      </w:r>
      <w:r w:rsidRPr="00730655">
        <w:rPr>
          <w:rFonts w:ascii="Times New Roman" w:hAnsi="Times New Roman" w:cs="Times New Roman"/>
          <w:color w:val="000000" w:themeColor="text1"/>
          <w:sz w:val="22"/>
          <w:szCs w:val="22"/>
        </w:rPr>
        <w:t xml:space="preserve"> to further strengthen real-world applicability.</w:t>
      </w:r>
    </w:p>
    <w:p w14:paraId="22093033" w14:textId="77777777" w:rsidR="00766F24" w:rsidRPr="00730655" w:rsidRDefault="00000000" w:rsidP="006A05A1">
      <w:pPr>
        <w:pStyle w:val="Heading1"/>
      </w:pPr>
      <w:bookmarkStart w:id="22" w:name="vii.-references"/>
      <w:bookmarkEnd w:id="21"/>
      <w:r w:rsidRPr="00730655">
        <w:t>VII. References</w:t>
      </w:r>
    </w:p>
    <w:p w14:paraId="558AD830"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Biljecki, F., &amp; Ito, K. (2021). Street view imagery in urban analytics and GIS: A review. </w:t>
      </w:r>
      <w:r w:rsidRPr="00730655">
        <w:rPr>
          <w:rFonts w:ascii="Times New Roman" w:hAnsi="Times New Roman" w:cs="Times New Roman"/>
          <w:i/>
          <w:iCs/>
          <w:color w:val="000000" w:themeColor="text1"/>
          <w:sz w:val="22"/>
          <w:szCs w:val="22"/>
        </w:rPr>
        <w:t>Landscape and Urban Planning</w:t>
      </w:r>
      <w:r w:rsidRPr="00730655">
        <w:rPr>
          <w:rFonts w:ascii="Times New Roman" w:hAnsi="Times New Roman" w:cs="Times New Roman"/>
          <w:color w:val="000000" w:themeColor="text1"/>
          <w:sz w:val="22"/>
          <w:szCs w:val="22"/>
        </w:rPr>
        <w:t>, 215, 104217.</w:t>
      </w:r>
    </w:p>
    <w:p w14:paraId="4A94841A"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Boeing, G. (2017). OSMnx: New methods for acquiring, constructing, analyzing, and visualizing complex street networks. </w:t>
      </w:r>
      <w:r w:rsidRPr="00730655">
        <w:rPr>
          <w:rFonts w:ascii="Times New Roman" w:hAnsi="Times New Roman" w:cs="Times New Roman"/>
          <w:i/>
          <w:iCs/>
          <w:color w:val="000000" w:themeColor="text1"/>
          <w:sz w:val="22"/>
          <w:szCs w:val="22"/>
        </w:rPr>
        <w:t>Computers, Environment and Urban Systems</w:t>
      </w:r>
      <w:r w:rsidRPr="00730655">
        <w:rPr>
          <w:rFonts w:ascii="Times New Roman" w:hAnsi="Times New Roman" w:cs="Times New Roman"/>
          <w:color w:val="000000" w:themeColor="text1"/>
          <w:sz w:val="22"/>
          <w:szCs w:val="22"/>
        </w:rPr>
        <w:t>, 65, 126-139.</w:t>
      </w:r>
    </w:p>
    <w:p w14:paraId="3E9CAB0B"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Chakraborty, T., Hsu, A., Manya, D., &amp; Sheriff, G. (2019). Disproportionately higher exposure to urban heat in lower-income neighborhoods: a multi-city perspective. </w:t>
      </w:r>
      <w:r w:rsidRPr="00730655">
        <w:rPr>
          <w:rFonts w:ascii="Times New Roman" w:hAnsi="Times New Roman" w:cs="Times New Roman"/>
          <w:i/>
          <w:iCs/>
          <w:color w:val="000000" w:themeColor="text1"/>
          <w:sz w:val="22"/>
          <w:szCs w:val="22"/>
        </w:rPr>
        <w:t>Environmental Research Letters</w:t>
      </w:r>
      <w:r w:rsidRPr="00730655">
        <w:rPr>
          <w:rFonts w:ascii="Times New Roman" w:hAnsi="Times New Roman" w:cs="Times New Roman"/>
          <w:color w:val="000000" w:themeColor="text1"/>
          <w:sz w:val="22"/>
          <w:szCs w:val="22"/>
        </w:rPr>
        <w:t>, 14(10), 105003.</w:t>
      </w:r>
    </w:p>
    <w:p w14:paraId="1B5A976B"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Chen, T., &amp; Guestrin, C. (2016). XGBoost: A scalable tree boosting system. In </w:t>
      </w:r>
      <w:r w:rsidRPr="00730655">
        <w:rPr>
          <w:rFonts w:ascii="Times New Roman" w:hAnsi="Times New Roman" w:cs="Times New Roman"/>
          <w:i/>
          <w:iCs/>
          <w:color w:val="000000" w:themeColor="text1"/>
          <w:sz w:val="22"/>
          <w:szCs w:val="22"/>
        </w:rPr>
        <w:t>Proceedings of the 22nd ACM SIGKDD International Conference on Knowledge Discovery and Data Mining</w:t>
      </w:r>
      <w:r w:rsidRPr="00730655">
        <w:rPr>
          <w:rFonts w:ascii="Times New Roman" w:hAnsi="Times New Roman" w:cs="Times New Roman"/>
          <w:color w:val="000000" w:themeColor="text1"/>
          <w:sz w:val="22"/>
          <w:szCs w:val="22"/>
        </w:rPr>
        <w:t xml:space="preserve"> (pp. 785-794).</w:t>
      </w:r>
    </w:p>
    <w:p w14:paraId="7D6FB637"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Cheng, B., Misra, I., Schwing, A. G., Kirillov, A., &amp; Girdhar, R. (2022). Masked-attention mask </w:t>
      </w:r>
      <w:proofErr w:type="gramStart"/>
      <w:r w:rsidRPr="00730655">
        <w:rPr>
          <w:rFonts w:ascii="Times New Roman" w:hAnsi="Times New Roman" w:cs="Times New Roman"/>
          <w:color w:val="000000" w:themeColor="text1"/>
          <w:sz w:val="22"/>
          <w:szCs w:val="22"/>
        </w:rPr>
        <w:t>transformer</w:t>
      </w:r>
      <w:proofErr w:type="gramEnd"/>
      <w:r w:rsidRPr="00730655">
        <w:rPr>
          <w:rFonts w:ascii="Times New Roman" w:hAnsi="Times New Roman" w:cs="Times New Roman"/>
          <w:color w:val="000000" w:themeColor="text1"/>
          <w:sz w:val="22"/>
          <w:szCs w:val="22"/>
        </w:rPr>
        <w:t xml:space="preserve"> for universal image segmentation. In </w:t>
      </w:r>
      <w:r w:rsidRPr="00730655">
        <w:rPr>
          <w:rFonts w:ascii="Times New Roman" w:hAnsi="Times New Roman" w:cs="Times New Roman"/>
          <w:i/>
          <w:iCs/>
          <w:color w:val="000000" w:themeColor="text1"/>
          <w:sz w:val="22"/>
          <w:szCs w:val="22"/>
        </w:rPr>
        <w:t>Proceedings of the IEEE/CVF conference on computer vision and pattern recognition</w:t>
      </w:r>
      <w:r w:rsidRPr="00730655">
        <w:rPr>
          <w:rFonts w:ascii="Times New Roman" w:hAnsi="Times New Roman" w:cs="Times New Roman"/>
          <w:color w:val="000000" w:themeColor="text1"/>
          <w:sz w:val="22"/>
          <w:szCs w:val="22"/>
        </w:rPr>
        <w:t xml:space="preserve"> (pp. 1290-1299).</w:t>
      </w:r>
    </w:p>
    <w:p w14:paraId="41AE4DB9"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Dijkstra, E. W. (1959). A note on two problems in connexion with graphs. </w:t>
      </w:r>
      <w:r w:rsidRPr="00730655">
        <w:rPr>
          <w:rFonts w:ascii="Times New Roman" w:hAnsi="Times New Roman" w:cs="Times New Roman"/>
          <w:i/>
          <w:iCs/>
          <w:color w:val="000000" w:themeColor="text1"/>
          <w:sz w:val="22"/>
          <w:szCs w:val="22"/>
        </w:rPr>
        <w:t>Numerische Mathematik</w:t>
      </w:r>
      <w:r w:rsidRPr="00730655">
        <w:rPr>
          <w:rFonts w:ascii="Times New Roman" w:hAnsi="Times New Roman" w:cs="Times New Roman"/>
          <w:color w:val="000000" w:themeColor="text1"/>
          <w:sz w:val="22"/>
          <w:szCs w:val="22"/>
        </w:rPr>
        <w:t>, 1, 269-271.</w:t>
      </w:r>
    </w:p>
    <w:p w14:paraId="56E881DB"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Ho, H. C., Knudby, A., Sirovyak, P., Xu, Y., Hodul, M., &amp; Henderson, S. B. (2014). Mapping maximum urban air temperature on hot summer days. </w:t>
      </w:r>
      <w:r w:rsidRPr="00730655">
        <w:rPr>
          <w:rFonts w:ascii="Times New Roman" w:hAnsi="Times New Roman" w:cs="Times New Roman"/>
          <w:i/>
          <w:iCs/>
          <w:color w:val="000000" w:themeColor="text1"/>
          <w:sz w:val="22"/>
          <w:szCs w:val="22"/>
        </w:rPr>
        <w:t>Remote Sensing of Environment</w:t>
      </w:r>
      <w:r w:rsidRPr="00730655">
        <w:rPr>
          <w:rFonts w:ascii="Times New Roman" w:hAnsi="Times New Roman" w:cs="Times New Roman"/>
          <w:color w:val="000000" w:themeColor="text1"/>
          <w:sz w:val="22"/>
          <w:szCs w:val="22"/>
        </w:rPr>
        <w:t>, 154, 38-45.</w:t>
      </w:r>
    </w:p>
    <w:p w14:paraId="30CA8B9F"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Kang, Y., Zhang, F., Gao, S., Lin, H., &amp; Liu, Y. (2020). A review of urban physical environment sensing using street view imagery in public health studies. </w:t>
      </w:r>
      <w:r w:rsidRPr="00730655">
        <w:rPr>
          <w:rFonts w:ascii="Times New Roman" w:hAnsi="Times New Roman" w:cs="Times New Roman"/>
          <w:i/>
          <w:iCs/>
          <w:color w:val="000000" w:themeColor="text1"/>
          <w:sz w:val="22"/>
          <w:szCs w:val="22"/>
        </w:rPr>
        <w:t>Annals of GIS</w:t>
      </w:r>
      <w:r w:rsidRPr="00730655">
        <w:rPr>
          <w:rFonts w:ascii="Times New Roman" w:hAnsi="Times New Roman" w:cs="Times New Roman"/>
          <w:color w:val="000000" w:themeColor="text1"/>
          <w:sz w:val="22"/>
          <w:szCs w:val="22"/>
        </w:rPr>
        <w:t>, 26(3), 261-275.</w:t>
      </w:r>
    </w:p>
    <w:p w14:paraId="655B1D2A"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Li, X., Zhang, C., Li, W., Ricard, R., Meng, Q., &amp; Zhang, W. (2015). Assessing street-level urban greenery using Google Street View and a modified green view index. </w:t>
      </w:r>
      <w:r w:rsidRPr="00730655">
        <w:rPr>
          <w:rFonts w:ascii="Times New Roman" w:hAnsi="Times New Roman" w:cs="Times New Roman"/>
          <w:i/>
          <w:iCs/>
          <w:color w:val="000000" w:themeColor="text1"/>
          <w:sz w:val="22"/>
          <w:szCs w:val="22"/>
        </w:rPr>
        <w:t>Urban Forestry &amp; Urban Greening</w:t>
      </w:r>
      <w:r w:rsidRPr="00730655">
        <w:rPr>
          <w:rFonts w:ascii="Times New Roman" w:hAnsi="Times New Roman" w:cs="Times New Roman"/>
          <w:color w:val="000000" w:themeColor="text1"/>
          <w:sz w:val="22"/>
          <w:szCs w:val="22"/>
        </w:rPr>
        <w:t>, 14(3), 675-685.</w:t>
      </w:r>
    </w:p>
    <w:p w14:paraId="737ABC41"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lastRenderedPageBreak/>
        <w:t xml:space="preserve">Middel, A., Lukasczyk, J., Zakrzewski, S., Arnold, M., &amp; Maciejewski, R. (2019). Urban form and composition of street canyons: A human-centric big data and deep learning approach. </w:t>
      </w:r>
      <w:r w:rsidRPr="00730655">
        <w:rPr>
          <w:rFonts w:ascii="Times New Roman" w:hAnsi="Times New Roman" w:cs="Times New Roman"/>
          <w:i/>
          <w:iCs/>
          <w:color w:val="000000" w:themeColor="text1"/>
          <w:sz w:val="22"/>
          <w:szCs w:val="22"/>
        </w:rPr>
        <w:t>Landscape and Urban Planning</w:t>
      </w:r>
      <w:r w:rsidRPr="00730655">
        <w:rPr>
          <w:rFonts w:ascii="Times New Roman" w:hAnsi="Times New Roman" w:cs="Times New Roman"/>
          <w:color w:val="000000" w:themeColor="text1"/>
          <w:sz w:val="22"/>
          <w:szCs w:val="22"/>
        </w:rPr>
        <w:t>, 183, 122-132.</w:t>
      </w:r>
    </w:p>
    <w:p w14:paraId="46950E50"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Neuhold, G., Ollmann, T., Rota Bulo, S., &amp; Kontschieder, P. (2017). The Mapillary Vistas Dataset for Semantic Understanding of Street Scenes. In </w:t>
      </w:r>
      <w:r w:rsidRPr="00730655">
        <w:rPr>
          <w:rFonts w:ascii="Times New Roman" w:hAnsi="Times New Roman" w:cs="Times New Roman"/>
          <w:i/>
          <w:iCs/>
          <w:color w:val="000000" w:themeColor="text1"/>
          <w:sz w:val="22"/>
          <w:szCs w:val="22"/>
        </w:rPr>
        <w:t>International Conference on Computer Vision (ICCV)</w:t>
      </w:r>
      <w:r w:rsidRPr="00730655">
        <w:rPr>
          <w:rFonts w:ascii="Times New Roman" w:hAnsi="Times New Roman" w:cs="Times New Roman"/>
          <w:color w:val="000000" w:themeColor="text1"/>
          <w:sz w:val="22"/>
          <w:szCs w:val="22"/>
        </w:rPr>
        <w:t>.</w:t>
      </w:r>
    </w:p>
    <w:p w14:paraId="5F52E0E9"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Oke, T. R. (1982). The energetic basis of the urban heat island. </w:t>
      </w:r>
      <w:r w:rsidRPr="00730655">
        <w:rPr>
          <w:rFonts w:ascii="Times New Roman" w:hAnsi="Times New Roman" w:cs="Times New Roman"/>
          <w:i/>
          <w:iCs/>
          <w:color w:val="000000" w:themeColor="text1"/>
          <w:sz w:val="22"/>
          <w:szCs w:val="22"/>
        </w:rPr>
        <w:t>Quarterly Journal of the Royal Meteorological Society</w:t>
      </w:r>
      <w:r w:rsidRPr="00730655">
        <w:rPr>
          <w:rFonts w:ascii="Times New Roman" w:hAnsi="Times New Roman" w:cs="Times New Roman"/>
          <w:color w:val="000000" w:themeColor="text1"/>
          <w:sz w:val="22"/>
          <w:szCs w:val="22"/>
        </w:rPr>
        <w:t>, 108(455), 1-24.</w:t>
      </w:r>
    </w:p>
    <w:p w14:paraId="098B4049" w14:textId="77777777" w:rsidR="00766F24"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Shimada, M., Itoh, T., Motooka, T., Watanabe, M., Shiraishi, T., Thapa, R., &amp; PALSAR Project Team. (2014). New global forest/non-forest maps from ALOS PALSAR data (2007–2010). </w:t>
      </w:r>
      <w:r w:rsidRPr="00730655">
        <w:rPr>
          <w:rFonts w:ascii="Times New Roman" w:hAnsi="Times New Roman" w:cs="Times New Roman"/>
          <w:i/>
          <w:iCs/>
          <w:color w:val="000000" w:themeColor="text1"/>
          <w:sz w:val="22"/>
          <w:szCs w:val="22"/>
        </w:rPr>
        <w:t>Remote Sensing of Environment</w:t>
      </w:r>
      <w:r w:rsidRPr="00730655">
        <w:rPr>
          <w:rFonts w:ascii="Times New Roman" w:hAnsi="Times New Roman" w:cs="Times New Roman"/>
          <w:color w:val="000000" w:themeColor="text1"/>
          <w:sz w:val="22"/>
          <w:szCs w:val="22"/>
        </w:rPr>
        <w:t>, 155, 13-31.</w:t>
      </w:r>
    </w:p>
    <w:p w14:paraId="56F3B9BE" w14:textId="5510CE99" w:rsidR="00A6213F" w:rsidRPr="00730655" w:rsidRDefault="00A6213F" w:rsidP="006A05A1">
      <w:pPr>
        <w:pStyle w:val="BodyText"/>
        <w:rPr>
          <w:rFonts w:ascii="Times New Roman" w:hAnsi="Times New Roman" w:cs="Times New Roman"/>
          <w:color w:val="000000" w:themeColor="text1"/>
          <w:sz w:val="22"/>
          <w:szCs w:val="22"/>
        </w:rPr>
      </w:pPr>
      <w:r w:rsidRPr="00A6213F">
        <w:rPr>
          <w:rFonts w:ascii="Times New Roman" w:hAnsi="Times New Roman" w:cs="Times New Roman"/>
          <w:color w:val="000000" w:themeColor="text1"/>
          <w:sz w:val="22"/>
          <w:szCs w:val="22"/>
        </w:rPr>
        <w:t xml:space="preserve">Tolan, J., Yang, H.-I., </w:t>
      </w:r>
      <w:proofErr w:type="spellStart"/>
      <w:r w:rsidRPr="00A6213F">
        <w:rPr>
          <w:rFonts w:ascii="Times New Roman" w:hAnsi="Times New Roman" w:cs="Times New Roman"/>
          <w:color w:val="000000" w:themeColor="text1"/>
          <w:sz w:val="22"/>
          <w:szCs w:val="22"/>
        </w:rPr>
        <w:t>Nosarzewski</w:t>
      </w:r>
      <w:proofErr w:type="spellEnd"/>
      <w:r w:rsidRPr="00A6213F">
        <w:rPr>
          <w:rFonts w:ascii="Times New Roman" w:hAnsi="Times New Roman" w:cs="Times New Roman"/>
          <w:color w:val="000000" w:themeColor="text1"/>
          <w:sz w:val="22"/>
          <w:szCs w:val="22"/>
        </w:rPr>
        <w:t xml:space="preserve">, B., </w:t>
      </w:r>
      <w:proofErr w:type="spellStart"/>
      <w:r w:rsidRPr="00A6213F">
        <w:rPr>
          <w:rFonts w:ascii="Times New Roman" w:hAnsi="Times New Roman" w:cs="Times New Roman"/>
          <w:color w:val="000000" w:themeColor="text1"/>
          <w:sz w:val="22"/>
          <w:szCs w:val="22"/>
        </w:rPr>
        <w:t>Couairon</w:t>
      </w:r>
      <w:proofErr w:type="spellEnd"/>
      <w:r w:rsidRPr="00A6213F">
        <w:rPr>
          <w:rFonts w:ascii="Times New Roman" w:hAnsi="Times New Roman" w:cs="Times New Roman"/>
          <w:color w:val="000000" w:themeColor="text1"/>
          <w:sz w:val="22"/>
          <w:szCs w:val="22"/>
        </w:rPr>
        <w:t xml:space="preserve">, G., Vo, H., Brandt, J., Spore, J., Majumdar, S., Haziza, D., </w:t>
      </w:r>
      <w:proofErr w:type="spellStart"/>
      <w:r w:rsidRPr="00A6213F">
        <w:rPr>
          <w:rFonts w:ascii="Times New Roman" w:hAnsi="Times New Roman" w:cs="Times New Roman"/>
          <w:color w:val="000000" w:themeColor="text1"/>
          <w:sz w:val="22"/>
          <w:szCs w:val="22"/>
        </w:rPr>
        <w:t>Vamaraju</w:t>
      </w:r>
      <w:proofErr w:type="spellEnd"/>
      <w:r w:rsidRPr="00A6213F">
        <w:rPr>
          <w:rFonts w:ascii="Times New Roman" w:hAnsi="Times New Roman" w:cs="Times New Roman"/>
          <w:color w:val="000000" w:themeColor="text1"/>
          <w:sz w:val="22"/>
          <w:szCs w:val="22"/>
        </w:rPr>
        <w:t xml:space="preserve">, J., </w:t>
      </w:r>
      <w:proofErr w:type="spellStart"/>
      <w:r w:rsidRPr="00A6213F">
        <w:rPr>
          <w:rFonts w:ascii="Times New Roman" w:hAnsi="Times New Roman" w:cs="Times New Roman"/>
          <w:color w:val="000000" w:themeColor="text1"/>
          <w:sz w:val="22"/>
          <w:szCs w:val="22"/>
        </w:rPr>
        <w:t>Moutakanni</w:t>
      </w:r>
      <w:proofErr w:type="spellEnd"/>
      <w:r w:rsidRPr="00A6213F">
        <w:rPr>
          <w:rFonts w:ascii="Times New Roman" w:hAnsi="Times New Roman" w:cs="Times New Roman"/>
          <w:color w:val="000000" w:themeColor="text1"/>
          <w:sz w:val="22"/>
          <w:szCs w:val="22"/>
        </w:rPr>
        <w:t xml:space="preserve">, T., Bojanowski, P., Johns, T., White, B., </w:t>
      </w:r>
      <w:proofErr w:type="spellStart"/>
      <w:r w:rsidRPr="00A6213F">
        <w:rPr>
          <w:rFonts w:ascii="Times New Roman" w:hAnsi="Times New Roman" w:cs="Times New Roman"/>
          <w:color w:val="000000" w:themeColor="text1"/>
          <w:sz w:val="22"/>
          <w:szCs w:val="22"/>
        </w:rPr>
        <w:t>Tiecke</w:t>
      </w:r>
      <w:proofErr w:type="spellEnd"/>
      <w:r w:rsidRPr="00A6213F">
        <w:rPr>
          <w:rFonts w:ascii="Times New Roman" w:hAnsi="Times New Roman" w:cs="Times New Roman"/>
          <w:color w:val="000000" w:themeColor="text1"/>
          <w:sz w:val="22"/>
          <w:szCs w:val="22"/>
        </w:rPr>
        <w:t xml:space="preserve">, T., &amp; </w:t>
      </w:r>
      <w:proofErr w:type="spellStart"/>
      <w:r w:rsidRPr="00A6213F">
        <w:rPr>
          <w:rFonts w:ascii="Times New Roman" w:hAnsi="Times New Roman" w:cs="Times New Roman"/>
          <w:color w:val="000000" w:themeColor="text1"/>
          <w:sz w:val="22"/>
          <w:szCs w:val="22"/>
        </w:rPr>
        <w:t>Couprie</w:t>
      </w:r>
      <w:proofErr w:type="spellEnd"/>
      <w:r w:rsidRPr="00A6213F">
        <w:rPr>
          <w:rFonts w:ascii="Times New Roman" w:hAnsi="Times New Roman" w:cs="Times New Roman"/>
          <w:color w:val="000000" w:themeColor="text1"/>
          <w:sz w:val="22"/>
          <w:szCs w:val="22"/>
        </w:rPr>
        <w:t xml:space="preserve">, C. (2023). Very </w:t>
      </w:r>
      <w:proofErr w:type="gramStart"/>
      <w:r w:rsidRPr="00A6213F">
        <w:rPr>
          <w:rFonts w:ascii="Times New Roman" w:hAnsi="Times New Roman" w:cs="Times New Roman"/>
          <w:color w:val="000000" w:themeColor="text1"/>
          <w:sz w:val="22"/>
          <w:szCs w:val="22"/>
        </w:rPr>
        <w:t>high resolution</w:t>
      </w:r>
      <w:proofErr w:type="gramEnd"/>
      <w:r w:rsidRPr="00A6213F">
        <w:rPr>
          <w:rFonts w:ascii="Times New Roman" w:hAnsi="Times New Roman" w:cs="Times New Roman"/>
          <w:color w:val="000000" w:themeColor="text1"/>
          <w:sz w:val="22"/>
          <w:szCs w:val="22"/>
        </w:rPr>
        <w:t xml:space="preserve"> canopy height maps from RGB imagery using self-supervised vision transformer and convolutional decoder trained on Aerial Lidar [Dataset]. Meta. https://dataforgood.facebook.com/dfg/tools/canopy-height-maps</w:t>
      </w:r>
    </w:p>
    <w:p w14:paraId="3E2DEABD"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United States Geological Survey (USGS). (2024). </w:t>
      </w:r>
      <w:r w:rsidRPr="00730655">
        <w:rPr>
          <w:rFonts w:ascii="Times New Roman" w:hAnsi="Times New Roman" w:cs="Times New Roman"/>
          <w:i/>
          <w:iCs/>
          <w:color w:val="000000" w:themeColor="text1"/>
          <w:sz w:val="22"/>
          <w:szCs w:val="22"/>
        </w:rPr>
        <w:t xml:space="preserve">Landsat 8-9 Operational Land Imagery (OLI) and Thermal Infrared Sensor (TIRS) Collection 2 </w:t>
      </w:r>
      <w:proofErr w:type="gramStart"/>
      <w:r w:rsidRPr="00730655">
        <w:rPr>
          <w:rFonts w:ascii="Times New Roman" w:hAnsi="Times New Roman" w:cs="Times New Roman"/>
          <w:i/>
          <w:iCs/>
          <w:color w:val="000000" w:themeColor="text1"/>
          <w:sz w:val="22"/>
          <w:szCs w:val="22"/>
        </w:rPr>
        <w:t>Level-2</w:t>
      </w:r>
      <w:proofErr w:type="gramEnd"/>
      <w:r w:rsidRPr="00730655">
        <w:rPr>
          <w:rFonts w:ascii="Times New Roman" w:hAnsi="Times New Roman" w:cs="Times New Roman"/>
          <w:i/>
          <w:iCs/>
          <w:color w:val="000000" w:themeColor="text1"/>
          <w:sz w:val="22"/>
          <w:szCs w:val="22"/>
        </w:rPr>
        <w:t xml:space="preserve"> Data</w:t>
      </w:r>
      <w:r w:rsidRPr="00730655">
        <w:rPr>
          <w:rFonts w:ascii="Times New Roman" w:hAnsi="Times New Roman" w:cs="Times New Roman"/>
          <w:color w:val="000000" w:themeColor="text1"/>
          <w:sz w:val="22"/>
          <w:szCs w:val="22"/>
        </w:rPr>
        <w:t>.</w:t>
      </w:r>
    </w:p>
    <w:p w14:paraId="029333AC"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Voogt, J. A., &amp; Oke, T. R. (2003). Thermal remote sensing of urban climates. </w:t>
      </w:r>
      <w:r w:rsidRPr="00730655">
        <w:rPr>
          <w:rFonts w:ascii="Times New Roman" w:hAnsi="Times New Roman" w:cs="Times New Roman"/>
          <w:i/>
          <w:iCs/>
          <w:color w:val="000000" w:themeColor="text1"/>
          <w:sz w:val="22"/>
          <w:szCs w:val="22"/>
        </w:rPr>
        <w:t>Remote Sensing of Environment</w:t>
      </w:r>
      <w:r w:rsidRPr="00730655">
        <w:rPr>
          <w:rFonts w:ascii="Times New Roman" w:hAnsi="Times New Roman" w:cs="Times New Roman"/>
          <w:color w:val="000000" w:themeColor="text1"/>
          <w:sz w:val="22"/>
          <w:szCs w:val="22"/>
        </w:rPr>
        <w:t>, 86(3), 370-384.</w:t>
      </w:r>
    </w:p>
    <w:p w14:paraId="64320D3F" w14:textId="77777777" w:rsidR="00766F24"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Zhang, F., Zhou, B., Liu, L., Liu, Y., Fung</w:t>
      </w:r>
      <w:proofErr w:type="gramStart"/>
      <w:r w:rsidRPr="00730655">
        <w:rPr>
          <w:rFonts w:ascii="Times New Roman" w:hAnsi="Times New Roman" w:cs="Times New Roman"/>
          <w:color w:val="000000" w:themeColor="text1"/>
          <w:sz w:val="22"/>
          <w:szCs w:val="22"/>
        </w:rPr>
        <w:t>, H.</w:t>
      </w:r>
      <w:proofErr w:type="gramEnd"/>
      <w:r w:rsidRPr="00730655">
        <w:rPr>
          <w:rFonts w:ascii="Times New Roman" w:hAnsi="Times New Roman" w:cs="Times New Roman"/>
          <w:color w:val="000000" w:themeColor="text1"/>
          <w:sz w:val="22"/>
          <w:szCs w:val="22"/>
        </w:rPr>
        <w:t xml:space="preserve"> H., Lin, H., &amp; Ratti, C. (2019). Measuring human perceptions of a large-scale urban region using machine learning. </w:t>
      </w:r>
      <w:r w:rsidRPr="00730655">
        <w:rPr>
          <w:rFonts w:ascii="Times New Roman" w:hAnsi="Times New Roman" w:cs="Times New Roman"/>
          <w:i/>
          <w:iCs/>
          <w:color w:val="000000" w:themeColor="text1"/>
          <w:sz w:val="22"/>
          <w:szCs w:val="22"/>
        </w:rPr>
        <w:t>Landscape and Urban Planning</w:t>
      </w:r>
      <w:r w:rsidRPr="00730655">
        <w:rPr>
          <w:rFonts w:ascii="Times New Roman" w:hAnsi="Times New Roman" w:cs="Times New Roman"/>
          <w:color w:val="000000" w:themeColor="text1"/>
          <w:sz w:val="22"/>
          <w:szCs w:val="22"/>
        </w:rPr>
        <w:t>, 180, 148-160.</w:t>
      </w:r>
      <w:bookmarkEnd w:id="22"/>
    </w:p>
    <w:p w14:paraId="14C34C64" w14:textId="7B938FE2" w:rsidR="003A7577" w:rsidRPr="00730655" w:rsidRDefault="003A7577" w:rsidP="006A05A1">
      <w:pPr>
        <w:pStyle w:val="BodyText"/>
        <w:rPr>
          <w:rFonts w:ascii="Times New Roman" w:hAnsi="Times New Roman" w:cs="Times New Roman"/>
          <w:color w:val="000000" w:themeColor="text1"/>
          <w:sz w:val="22"/>
          <w:szCs w:val="22"/>
        </w:rPr>
      </w:pPr>
      <w:r w:rsidRPr="003A7577">
        <w:rPr>
          <w:rFonts w:ascii="Times New Roman" w:hAnsi="Times New Roman" w:cs="Times New Roman"/>
          <w:color w:val="000000" w:themeColor="text1"/>
          <w:sz w:val="22"/>
          <w:szCs w:val="22"/>
        </w:rPr>
        <w:t xml:space="preserve">Zhu, X. X., Chen, S., Zhang, F., Shi, Y., and Wang, Y.: </w:t>
      </w:r>
      <w:proofErr w:type="spellStart"/>
      <w:r w:rsidRPr="003A7577">
        <w:rPr>
          <w:rFonts w:ascii="Times New Roman" w:hAnsi="Times New Roman" w:cs="Times New Roman"/>
          <w:color w:val="000000" w:themeColor="text1"/>
          <w:sz w:val="22"/>
          <w:szCs w:val="22"/>
        </w:rPr>
        <w:t>GlobalBuildingAtlas</w:t>
      </w:r>
      <w:proofErr w:type="spellEnd"/>
      <w:r w:rsidRPr="003A7577">
        <w:rPr>
          <w:rFonts w:ascii="Times New Roman" w:hAnsi="Times New Roman" w:cs="Times New Roman"/>
          <w:color w:val="000000" w:themeColor="text1"/>
          <w:sz w:val="22"/>
          <w:szCs w:val="22"/>
        </w:rPr>
        <w:t xml:space="preserve">: an open global and complete dataset of building polygons, heights and LoD1 3D models, </w:t>
      </w:r>
      <w:r w:rsidRPr="003A7577">
        <w:rPr>
          <w:rFonts w:ascii="Times New Roman" w:hAnsi="Times New Roman" w:cs="Times New Roman"/>
          <w:i/>
          <w:iCs/>
          <w:color w:val="000000" w:themeColor="text1"/>
          <w:sz w:val="22"/>
          <w:szCs w:val="22"/>
        </w:rPr>
        <w:t>Earth Syst. Sci. Data</w:t>
      </w:r>
      <w:r w:rsidRPr="003A7577">
        <w:rPr>
          <w:rFonts w:ascii="Times New Roman" w:hAnsi="Times New Roman" w:cs="Times New Roman"/>
          <w:color w:val="000000" w:themeColor="text1"/>
          <w:sz w:val="22"/>
          <w:szCs w:val="22"/>
        </w:rPr>
        <w:t>, 17, 6647–6668, https://doi.org/10.5194/essd-17-6647-2025, 2025.</w:t>
      </w:r>
    </w:p>
    <w:sectPr w:rsidR="003A7577" w:rsidRPr="00730655" w:rsidSect="00704C3D">
      <w:footnotePr>
        <w:numRestart w:val="eachSect"/>
      </w:footnotePr>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84042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3CF0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E9A61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42143708">
    <w:abstractNumId w:val="0"/>
  </w:num>
  <w:num w:numId="2" w16cid:durableId="210578737">
    <w:abstractNumId w:val="1"/>
  </w:num>
  <w:num w:numId="3" w16cid:durableId="1000893067">
    <w:abstractNumId w:val="1"/>
  </w:num>
  <w:num w:numId="4" w16cid:durableId="512956507">
    <w:abstractNumId w:val="1"/>
  </w:num>
  <w:num w:numId="5" w16cid:durableId="1592008898">
    <w:abstractNumId w:val="1"/>
  </w:num>
  <w:num w:numId="6" w16cid:durableId="858007855">
    <w:abstractNumId w:val="1"/>
  </w:num>
  <w:num w:numId="7" w16cid:durableId="2028557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75720991">
    <w:abstractNumId w:val="1"/>
  </w:num>
  <w:num w:numId="9" w16cid:durableId="1953897778">
    <w:abstractNumId w:val="1"/>
  </w:num>
  <w:num w:numId="10" w16cid:durableId="2124179695">
    <w:abstractNumId w:val="1"/>
  </w:num>
  <w:num w:numId="11" w16cid:durableId="1391534732">
    <w:abstractNumId w:val="1"/>
  </w:num>
  <w:num w:numId="12" w16cid:durableId="1333609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66F24"/>
    <w:rsid w:val="000D33F7"/>
    <w:rsid w:val="000E1987"/>
    <w:rsid w:val="00103EAF"/>
    <w:rsid w:val="0015640A"/>
    <w:rsid w:val="001C2C6C"/>
    <w:rsid w:val="001C77F1"/>
    <w:rsid w:val="001D5B89"/>
    <w:rsid w:val="00203090"/>
    <w:rsid w:val="002C4142"/>
    <w:rsid w:val="002D55ED"/>
    <w:rsid w:val="00311CDD"/>
    <w:rsid w:val="00321C0A"/>
    <w:rsid w:val="00331875"/>
    <w:rsid w:val="00371040"/>
    <w:rsid w:val="00374E57"/>
    <w:rsid w:val="003A7577"/>
    <w:rsid w:val="00492484"/>
    <w:rsid w:val="004C149F"/>
    <w:rsid w:val="00597478"/>
    <w:rsid w:val="005D5726"/>
    <w:rsid w:val="005E08EA"/>
    <w:rsid w:val="00630E77"/>
    <w:rsid w:val="006A05A1"/>
    <w:rsid w:val="006B68EE"/>
    <w:rsid w:val="00704C3D"/>
    <w:rsid w:val="00720047"/>
    <w:rsid w:val="00730655"/>
    <w:rsid w:val="007530A2"/>
    <w:rsid w:val="0076029F"/>
    <w:rsid w:val="00766F24"/>
    <w:rsid w:val="007748DF"/>
    <w:rsid w:val="007767B9"/>
    <w:rsid w:val="007D4674"/>
    <w:rsid w:val="007E4004"/>
    <w:rsid w:val="008934DB"/>
    <w:rsid w:val="008D53DB"/>
    <w:rsid w:val="00903745"/>
    <w:rsid w:val="00A31EF5"/>
    <w:rsid w:val="00A44182"/>
    <w:rsid w:val="00A6213F"/>
    <w:rsid w:val="00AC2C21"/>
    <w:rsid w:val="00AC6C39"/>
    <w:rsid w:val="00B22157"/>
    <w:rsid w:val="00B63B0B"/>
    <w:rsid w:val="00BB3E23"/>
    <w:rsid w:val="00C40450"/>
    <w:rsid w:val="00C479F1"/>
    <w:rsid w:val="00C75353"/>
    <w:rsid w:val="00CE3F30"/>
    <w:rsid w:val="00D412E7"/>
    <w:rsid w:val="00D76632"/>
    <w:rsid w:val="00DB6547"/>
    <w:rsid w:val="00DD6358"/>
    <w:rsid w:val="00E626F5"/>
    <w:rsid w:val="00ED2B84"/>
    <w:rsid w:val="00F033A1"/>
    <w:rsid w:val="00F455AE"/>
    <w:rsid w:val="00F46464"/>
    <w:rsid w:val="00FA0B94"/>
    <w:rsid w:val="00FB7867"/>
    <w:rsid w:val="00FF31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B3DD4"/>
  <w15:docId w15:val="{F84CA973-96E8-4ECF-9073-167407BAD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730655"/>
    <w:pPr>
      <w:keepNext/>
      <w:keepLines/>
      <w:spacing w:before="360" w:after="80"/>
      <w:outlineLvl w:val="0"/>
    </w:pPr>
    <w:rPr>
      <w:rFonts w:ascii="Times New Roman" w:eastAsiaTheme="majorEastAsia" w:hAnsi="Times New Roman" w:cs="Times New Roman"/>
      <w:b/>
      <w:bCs/>
      <w:color w:val="000000" w:themeColor="text1"/>
      <w:sz w:val="22"/>
      <w:szCs w:val="22"/>
    </w:rPr>
  </w:style>
  <w:style w:type="paragraph" w:styleId="Heading2">
    <w:name w:val="heading 2"/>
    <w:basedOn w:val="Normal"/>
    <w:next w:val="BodyText"/>
    <w:link w:val="Heading2Char"/>
    <w:uiPriority w:val="9"/>
    <w:unhideWhenUsed/>
    <w:qFormat/>
    <w:rsid w:val="00630E77"/>
    <w:pPr>
      <w:keepNext/>
      <w:keepLines/>
      <w:spacing w:before="160" w:after="80"/>
      <w:outlineLvl w:val="1"/>
    </w:pPr>
    <w:rPr>
      <w:rFonts w:ascii="Times New Roman" w:eastAsiaTheme="majorEastAsia" w:hAnsi="Times New Roman" w:cs="Times New Roman"/>
      <w:b/>
      <w:bCs/>
      <w:i/>
      <w:iCs/>
      <w:color w:val="000000" w:themeColor="text1"/>
      <w:sz w:val="22"/>
      <w:szCs w:val="2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730655"/>
    <w:rPr>
      <w:rFonts w:ascii="Times New Roman" w:eastAsiaTheme="majorEastAsia" w:hAnsi="Times New Roman" w:cs="Times New Roman"/>
      <w:b/>
      <w:bCs/>
      <w:color w:val="000000" w:themeColor="text1"/>
      <w:sz w:val="22"/>
      <w:szCs w:val="22"/>
    </w:rPr>
  </w:style>
  <w:style w:type="character" w:customStyle="1" w:styleId="Heading2Char">
    <w:name w:val="Heading 2 Char"/>
    <w:basedOn w:val="DefaultParagraphFont"/>
    <w:link w:val="Heading2"/>
    <w:uiPriority w:val="9"/>
    <w:rsid w:val="00630E77"/>
    <w:rPr>
      <w:rFonts w:ascii="Times New Roman" w:eastAsiaTheme="majorEastAsia" w:hAnsi="Times New Roman" w:cs="Times New Roman"/>
      <w:b/>
      <w:bCs/>
      <w:i/>
      <w:iCs/>
      <w:color w:val="000000" w:themeColor="text1"/>
      <w:sz w:val="22"/>
      <w:szCs w:val="2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10</Pages>
  <Words>2507</Words>
  <Characters>15524</Characters>
  <Application>Microsoft Office Word</Application>
  <DocSecurity>0</DocSecurity>
  <Lines>388</Lines>
  <Paragraphs>243</Paragraphs>
  <ScaleCrop>false</ScaleCrop>
  <HeadingPairs>
    <vt:vector size="2" baseType="variant">
      <vt:variant>
        <vt:lpstr>Title</vt:lpstr>
      </vt:variant>
      <vt:variant>
        <vt:i4>1</vt:i4>
      </vt:variant>
    </vt:vector>
  </HeadingPairs>
  <TitlesOfParts>
    <vt:vector size="1" baseType="lpstr">
      <vt:lpstr>Hot Hẻm: Sài Gòn Giữa Cái Nóng Hổng Công Bằng—Saigon in Unequal Heat</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 Hẻm: Sài Gòn Giữa Cái Nóng Hổng Công Bằng—Saigon in Unequal Heat</dc:title>
  <dc:creator>Tess Vu</dc:creator>
  <cp:keywords/>
  <cp:lastModifiedBy>Vu, Tess Anh Thu</cp:lastModifiedBy>
  <cp:revision>58</cp:revision>
  <cp:lastPrinted>2025-12-10T04:47:00Z</cp:lastPrinted>
  <dcterms:created xsi:type="dcterms:W3CDTF">2025-12-10T01:21:00Z</dcterms:created>
  <dcterms:modified xsi:type="dcterms:W3CDTF">2025-12-10T04:48:00Z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2025-12-09</vt:lpwstr>
  </property>
  <property fmtid="{D5CDD505-2E9C-101B-9397-08002B2CF9AE}" pid="4" name="fontsize">
    <vt:lpwstr>12pt</vt:lpwstr>
  </property>
  <property fmtid="{D5CDD505-2E9C-101B-9397-08002B2CF9AE}" pid="5" name="subtitle">
    <vt:lpwstr>Optimization for Suffering: The Hottest Route Available</vt:lpwstr>
  </property>
</Properties>
</file>