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357F" w14:textId="606F85D1" w:rsidR="00613CD7" w:rsidRPr="0019665E" w:rsidRDefault="00DA7512">
      <w:pPr>
        <w:rPr>
          <w:rFonts w:cstheme="minorHAnsi"/>
        </w:rPr>
      </w:pPr>
      <w:r w:rsidRPr="0019665E">
        <w:rPr>
          <w:rFonts w:cstheme="minorHAnsi"/>
        </w:rPr>
        <w:softHyphen/>
      </w:r>
      <w:r w:rsidRPr="0019665E">
        <w:rPr>
          <w:rFonts w:cstheme="minorHAnsi"/>
        </w:rPr>
        <w:softHyphen/>
      </w:r>
      <w:r w:rsidRPr="0019665E">
        <w:rPr>
          <w:rFonts w:cstheme="minorHAnsi"/>
        </w:rPr>
        <w:softHyphen/>
      </w:r>
      <w:r w:rsidRPr="0019665E">
        <w:rPr>
          <w:rFonts w:cstheme="minorHAnsi"/>
        </w:rPr>
        <w:softHyphen/>
      </w:r>
      <w:r w:rsidRPr="0019665E">
        <w:rPr>
          <w:rFonts w:cstheme="minorHAnsi"/>
        </w:rPr>
        <w:softHyphen/>
      </w:r>
      <w:r w:rsidRPr="0019665E">
        <w:rPr>
          <w:rFonts w:cstheme="minorHAnsi"/>
        </w:rPr>
        <w:softHyphen/>
      </w:r>
      <w:r w:rsidR="00613CD7" w:rsidRPr="0019665E">
        <w:rPr>
          <w:rFonts w:cstheme="minorHAnsi"/>
        </w:rPr>
        <w:t xml:space="preserve">Data in this folder are: </w:t>
      </w:r>
    </w:p>
    <w:p w14:paraId="316D914C" w14:textId="77777777" w:rsidR="00613CD7" w:rsidRPr="0019665E" w:rsidRDefault="00613CD7">
      <w:pPr>
        <w:rPr>
          <w:rFonts w:cstheme="minorHAnsi"/>
        </w:rPr>
      </w:pPr>
    </w:p>
    <w:p w14:paraId="4731E1D7" w14:textId="0A7D1772" w:rsidR="0072274D" w:rsidRPr="0019665E" w:rsidRDefault="00DB4628">
      <w:pPr>
        <w:rPr>
          <w:rFonts w:cstheme="minorHAnsi"/>
        </w:rPr>
      </w:pPr>
      <w:r w:rsidRPr="0019665E">
        <w:rPr>
          <w:rFonts w:cstheme="minorHAnsi"/>
        </w:rPr>
        <w:t xml:space="preserve"> </w:t>
      </w:r>
      <w:r w:rsidR="007619A0" w:rsidRPr="0019665E">
        <w:rPr>
          <w:rFonts w:cstheme="minorHAnsi"/>
          <w:noProof/>
        </w:rPr>
        <w:drawing>
          <wp:inline distT="0" distB="0" distL="0" distR="0" wp14:anchorId="10CBE88B" wp14:editId="43FEE74B">
            <wp:extent cx="58547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09 at 1.26.40 PM.png"/>
                    <pic:cNvPicPr/>
                  </pic:nvPicPr>
                  <pic:blipFill>
                    <a:blip r:embed="rId7">
                      <a:extLst>
                        <a:ext uri="{28A0092B-C50C-407E-A947-70E740481C1C}">
                          <a14:useLocalDpi xmlns:a14="http://schemas.microsoft.com/office/drawing/2010/main" val="0"/>
                        </a:ext>
                      </a:extLst>
                    </a:blip>
                    <a:stretch>
                      <a:fillRect/>
                    </a:stretch>
                  </pic:blipFill>
                  <pic:spPr>
                    <a:xfrm>
                      <a:off x="0" y="0"/>
                      <a:ext cx="5854700" cy="4876800"/>
                    </a:xfrm>
                    <a:prstGeom prst="rect">
                      <a:avLst/>
                    </a:prstGeom>
                  </pic:spPr>
                </pic:pic>
              </a:graphicData>
            </a:graphic>
          </wp:inline>
        </w:drawing>
      </w:r>
    </w:p>
    <w:p w14:paraId="5FB1DFA7" w14:textId="553CBF6D" w:rsidR="00DB4628" w:rsidRDefault="00DB4628">
      <w:pPr>
        <w:rPr>
          <w:rFonts w:cstheme="minorHAnsi"/>
        </w:rPr>
      </w:pPr>
    </w:p>
    <w:p w14:paraId="1688AB17" w14:textId="62451BB2" w:rsidR="00A07D8D" w:rsidRDefault="00A07D8D">
      <w:pPr>
        <w:rPr>
          <w:rFonts w:cstheme="minorHAnsi"/>
        </w:rPr>
      </w:pPr>
      <w:r>
        <w:rPr>
          <w:rFonts w:cstheme="minorHAnsi"/>
        </w:rPr>
        <w:t>All the data sets in this folder are collected between the flu season of 2003-04 to 2019-20.</w:t>
      </w:r>
    </w:p>
    <w:p w14:paraId="3ED58530" w14:textId="77777777" w:rsidR="00A07D8D" w:rsidRPr="0019665E" w:rsidRDefault="00A07D8D">
      <w:pPr>
        <w:rPr>
          <w:rFonts w:cstheme="minorHAnsi"/>
        </w:rPr>
      </w:pPr>
    </w:p>
    <w:p w14:paraId="45DDEEBF" w14:textId="7B3644B4" w:rsidR="00111BFB" w:rsidRDefault="00DB4628">
      <w:pPr>
        <w:rPr>
          <w:rFonts w:eastAsia="Times New Roman" w:cstheme="minorHAnsi"/>
        </w:rPr>
      </w:pPr>
      <w:r w:rsidRPr="0019665E">
        <w:rPr>
          <w:rFonts w:cstheme="minorHAnsi"/>
        </w:rPr>
        <w:t xml:space="preserve">All of the data sets are downloaded from the Flu Hospitalization Rates </w:t>
      </w:r>
      <w:r w:rsidR="00111BFB" w:rsidRPr="0019665E">
        <w:rPr>
          <w:rFonts w:cstheme="minorHAnsi"/>
        </w:rPr>
        <w:t xml:space="preserve">interactive application accessible through the following URL: </w:t>
      </w:r>
      <w:hyperlink r:id="rId8" w:history="1">
        <w:r w:rsidR="00111BFB" w:rsidRPr="0019665E">
          <w:rPr>
            <w:rStyle w:val="Hyperlink"/>
            <w:rFonts w:cstheme="minorHAnsi"/>
          </w:rPr>
          <w:t>https://gis.cdc.gov/GRASP/Fluview/FluHospRates.html</w:t>
        </w:r>
      </w:hyperlink>
      <w:r w:rsidR="00111BFB" w:rsidRPr="0019665E">
        <w:rPr>
          <w:rFonts w:cstheme="minorHAnsi"/>
        </w:rPr>
        <w:t xml:space="preserve"> </w:t>
      </w:r>
      <w:r w:rsidR="00111BFB" w:rsidRPr="0019665E">
        <w:rPr>
          <w:rFonts w:eastAsia="Times New Roman" w:cstheme="minorHAnsi"/>
          <w:bCs/>
        </w:rPr>
        <w:t>(For the method and purpose of this dashboard, please</w:t>
      </w:r>
      <w:r w:rsidR="00111BFB" w:rsidRPr="0019665E">
        <w:rPr>
          <w:rFonts w:eastAsia="Times New Roman" w:cstheme="minorHAnsi"/>
          <w:b/>
          <w:bCs/>
        </w:rPr>
        <w:t xml:space="preserve"> </w:t>
      </w:r>
      <w:r w:rsidR="00111BFB" w:rsidRPr="0019665E">
        <w:rPr>
          <w:rFonts w:eastAsia="Times New Roman" w:cstheme="minorHAnsi"/>
        </w:rPr>
        <w:t xml:space="preserve">visit: </w:t>
      </w:r>
      <w:hyperlink r:id="rId9" w:anchor="Viral" w:history="1">
        <w:r w:rsidR="00111BFB" w:rsidRPr="0019665E">
          <w:rPr>
            <w:rStyle w:val="Hyperlink"/>
            <w:rFonts w:eastAsia="Times New Roman" w:cstheme="minorHAnsi"/>
          </w:rPr>
          <w:t>http://www.cdc.gov/flu/weekly/overview.htm#Viral</w:t>
        </w:r>
      </w:hyperlink>
      <w:r w:rsidR="00111BFB" w:rsidRPr="0019665E">
        <w:rPr>
          <w:rFonts w:eastAsia="Times New Roman" w:cstheme="minorHAnsi"/>
        </w:rPr>
        <w:t>).</w:t>
      </w:r>
      <w:r w:rsidR="008B2E37" w:rsidRPr="0019665E">
        <w:rPr>
          <w:rFonts w:eastAsia="Times New Roman" w:cstheme="minorHAnsi"/>
        </w:rPr>
        <w:t xml:space="preserve"> D</w:t>
      </w:r>
      <w:r w:rsidR="00111BFB" w:rsidRPr="0019665E">
        <w:rPr>
          <w:rFonts w:eastAsia="Times New Roman" w:cstheme="minorHAnsi"/>
        </w:rPr>
        <w:t>ata</w:t>
      </w:r>
      <w:r w:rsidR="008B2E37" w:rsidRPr="0019665E">
        <w:rPr>
          <w:rFonts w:eastAsia="Times New Roman" w:cstheme="minorHAnsi"/>
        </w:rPr>
        <w:t xml:space="preserve"> from the </w:t>
      </w:r>
      <w:r w:rsidR="008B2E37" w:rsidRPr="0019665E">
        <w:rPr>
          <w:rFonts w:cstheme="minorHAnsi"/>
        </w:rPr>
        <w:t>10 Emerging Infections Program (EIP) states (CA, CO, CT, GA, MD, MN, NM, NY, OR, and TN) and additional Influenza Hospitalization Surveillance Project (IHSP) states</w:t>
      </w:r>
      <w:r w:rsidR="00111BFB" w:rsidRPr="0019665E">
        <w:rPr>
          <w:rFonts w:eastAsia="Times New Roman" w:cstheme="minorHAnsi"/>
        </w:rPr>
        <w:t xml:space="preserve"> are combined into a master data set named as LabConfirmedMasterData.csv. Variables in this data set are listed below:</w:t>
      </w:r>
    </w:p>
    <w:p w14:paraId="6BF6A1AD" w14:textId="6FA56673" w:rsidR="00DD5B62" w:rsidRDefault="00DD5B62">
      <w:pPr>
        <w:rPr>
          <w:rFonts w:eastAsia="Times New Roman" w:cstheme="minorHAnsi"/>
        </w:rPr>
      </w:pPr>
    </w:p>
    <w:p w14:paraId="37584CAE" w14:textId="51826F46" w:rsidR="00DD5B62" w:rsidRDefault="00DD5B62">
      <w:pPr>
        <w:rPr>
          <w:rFonts w:eastAsia="Times New Roman" w:cstheme="minorHAnsi"/>
        </w:rPr>
      </w:pPr>
    </w:p>
    <w:p w14:paraId="13F3B5E3" w14:textId="079576B2" w:rsidR="00DD5B62" w:rsidRDefault="00DD5B62">
      <w:pPr>
        <w:rPr>
          <w:rFonts w:eastAsia="Times New Roman" w:cstheme="minorHAnsi"/>
        </w:rPr>
      </w:pPr>
    </w:p>
    <w:p w14:paraId="0BF74B1B" w14:textId="29090661" w:rsidR="00DD5B62" w:rsidRDefault="00DD5B62">
      <w:pPr>
        <w:rPr>
          <w:rFonts w:eastAsia="Times New Roman" w:cstheme="minorHAnsi"/>
        </w:rPr>
      </w:pPr>
    </w:p>
    <w:p w14:paraId="5A467A39" w14:textId="77777777" w:rsidR="00DD5B62" w:rsidRPr="0019665E" w:rsidRDefault="00DD5B62">
      <w:pPr>
        <w:rPr>
          <w:rFonts w:eastAsia="Times New Roman" w:cstheme="minorHAnsi"/>
        </w:rPr>
      </w:pPr>
      <w:bookmarkStart w:id="0" w:name="_GoBack"/>
      <w:bookmarkEnd w:id="0"/>
    </w:p>
    <w:p w14:paraId="6E1CF07F" w14:textId="77777777" w:rsidR="00111BFB" w:rsidRPr="0019665E" w:rsidRDefault="00111BFB">
      <w:pPr>
        <w:rPr>
          <w:rFonts w:eastAsia="Times New Roman" w:cstheme="minorHAnsi"/>
        </w:rPr>
      </w:pPr>
    </w:p>
    <w:tbl>
      <w:tblPr>
        <w:tblStyle w:val="TableGrid"/>
        <w:tblW w:w="0" w:type="auto"/>
        <w:tblInd w:w="720" w:type="dxa"/>
        <w:tblLook w:val="04A0" w:firstRow="1" w:lastRow="0" w:firstColumn="1" w:lastColumn="0" w:noHBand="0" w:noVBand="1"/>
      </w:tblPr>
      <w:tblGrid>
        <w:gridCol w:w="3108"/>
        <w:gridCol w:w="2197"/>
        <w:gridCol w:w="3325"/>
      </w:tblGrid>
      <w:tr w:rsidR="00DD5B62" w:rsidRPr="00DD5B62" w14:paraId="6DAEFD0F" w14:textId="77777777" w:rsidTr="00DD5B62">
        <w:tc>
          <w:tcPr>
            <w:tcW w:w="3108" w:type="dxa"/>
          </w:tcPr>
          <w:p w14:paraId="313A890D" w14:textId="0AD71688" w:rsidR="00DD5B62" w:rsidRPr="00DD5B62" w:rsidRDefault="00DD5B62" w:rsidP="003941EF">
            <w:pPr>
              <w:rPr>
                <w:rFonts w:eastAsia="Times New Roman" w:cstheme="minorHAnsi"/>
              </w:rPr>
            </w:pPr>
            <w:r>
              <w:rPr>
                <w:rFonts w:eastAsia="Times New Roman" w:cstheme="minorHAnsi"/>
              </w:rPr>
              <w:lastRenderedPageBreak/>
              <w:t>File</w:t>
            </w:r>
          </w:p>
        </w:tc>
        <w:tc>
          <w:tcPr>
            <w:tcW w:w="2197" w:type="dxa"/>
          </w:tcPr>
          <w:p w14:paraId="2DA88D5E" w14:textId="7A4187F3" w:rsidR="00DD5B62" w:rsidRPr="00DD5B62" w:rsidRDefault="00DD5B62" w:rsidP="003941EF">
            <w:pPr>
              <w:rPr>
                <w:rFonts w:eastAsia="Times New Roman" w:cstheme="minorHAnsi"/>
              </w:rPr>
            </w:pPr>
            <w:r>
              <w:rPr>
                <w:rFonts w:eastAsia="Times New Roman" w:cstheme="minorHAnsi"/>
              </w:rPr>
              <w:t>Variable</w:t>
            </w:r>
          </w:p>
        </w:tc>
        <w:tc>
          <w:tcPr>
            <w:tcW w:w="3325" w:type="dxa"/>
          </w:tcPr>
          <w:p w14:paraId="36441A3A" w14:textId="33BBF0B4" w:rsidR="00DD5B62" w:rsidRPr="00DD5B62" w:rsidRDefault="00DD5B62" w:rsidP="003941EF">
            <w:pPr>
              <w:rPr>
                <w:rFonts w:eastAsia="Times New Roman" w:cstheme="minorHAnsi"/>
              </w:rPr>
            </w:pPr>
            <w:r>
              <w:rPr>
                <w:rFonts w:eastAsia="Times New Roman" w:cstheme="minorHAnsi"/>
              </w:rPr>
              <w:t>Note</w:t>
            </w:r>
          </w:p>
        </w:tc>
      </w:tr>
      <w:tr w:rsidR="00DD5B62" w:rsidRPr="00DD5B62" w14:paraId="6CEC8D94" w14:textId="0155A82C" w:rsidTr="00DD5B62">
        <w:tc>
          <w:tcPr>
            <w:tcW w:w="3108" w:type="dxa"/>
          </w:tcPr>
          <w:p w14:paraId="626AC79E" w14:textId="25312FC4" w:rsidR="00DD5B62" w:rsidRPr="00DD5B62" w:rsidRDefault="00DD5B62" w:rsidP="003941EF">
            <w:pPr>
              <w:rPr>
                <w:rFonts w:eastAsia="Times New Roman" w:cstheme="minorHAnsi"/>
              </w:rPr>
            </w:pPr>
            <w:r w:rsidRPr="0019665E">
              <w:rPr>
                <w:rFonts w:eastAsia="Times New Roman" w:cstheme="minorHAnsi"/>
              </w:rPr>
              <w:t>LabConfirmedMasterData.csv</w:t>
            </w:r>
          </w:p>
        </w:tc>
        <w:tc>
          <w:tcPr>
            <w:tcW w:w="2197" w:type="dxa"/>
          </w:tcPr>
          <w:p w14:paraId="392F76C7" w14:textId="519B5056" w:rsidR="00DD5B62" w:rsidRPr="00DD5B62" w:rsidRDefault="00DD5B62" w:rsidP="003941EF">
            <w:pPr>
              <w:rPr>
                <w:rFonts w:eastAsia="Times New Roman" w:cstheme="minorHAnsi"/>
              </w:rPr>
            </w:pPr>
            <w:r w:rsidRPr="00DD5B62">
              <w:rPr>
                <w:rFonts w:eastAsia="Times New Roman" w:cstheme="minorHAnsi"/>
              </w:rPr>
              <w:t>CATCHMENT</w:t>
            </w:r>
          </w:p>
        </w:tc>
        <w:tc>
          <w:tcPr>
            <w:tcW w:w="3325" w:type="dxa"/>
          </w:tcPr>
          <w:p w14:paraId="4E2157BB" w14:textId="23D69628" w:rsidR="00DD5B62" w:rsidRPr="00DD5B62" w:rsidRDefault="00DD5B62" w:rsidP="003941EF">
            <w:pPr>
              <w:rPr>
                <w:rFonts w:eastAsia="Times New Roman" w:cstheme="minorHAnsi"/>
                <w:b/>
              </w:rPr>
            </w:pPr>
            <w:r>
              <w:rPr>
                <w:rFonts w:eastAsia="Times New Roman" w:cstheme="minorHAnsi"/>
              </w:rPr>
              <w:t>Names of state</w:t>
            </w:r>
          </w:p>
        </w:tc>
      </w:tr>
      <w:tr w:rsidR="00DD5B62" w:rsidRPr="00DD5B62" w14:paraId="078D228B" w14:textId="702F802A" w:rsidTr="00DD5B62">
        <w:tc>
          <w:tcPr>
            <w:tcW w:w="3108" w:type="dxa"/>
          </w:tcPr>
          <w:p w14:paraId="7B50AFD9" w14:textId="77777777" w:rsidR="00DD5B62" w:rsidRPr="00DD5B62" w:rsidRDefault="00DD5B62" w:rsidP="003941EF">
            <w:pPr>
              <w:rPr>
                <w:rFonts w:eastAsia="Times New Roman" w:cstheme="minorHAnsi"/>
              </w:rPr>
            </w:pPr>
          </w:p>
        </w:tc>
        <w:tc>
          <w:tcPr>
            <w:tcW w:w="2197" w:type="dxa"/>
          </w:tcPr>
          <w:p w14:paraId="4A004613" w14:textId="55FBCD2D" w:rsidR="00DD5B62" w:rsidRPr="00DD5B62" w:rsidRDefault="00DD5B62" w:rsidP="003941EF">
            <w:pPr>
              <w:rPr>
                <w:rFonts w:eastAsia="Times New Roman" w:cstheme="minorHAnsi"/>
              </w:rPr>
            </w:pPr>
            <w:r w:rsidRPr="00DD5B62">
              <w:rPr>
                <w:rFonts w:eastAsia="Times New Roman" w:cstheme="minorHAnsi"/>
              </w:rPr>
              <w:t xml:space="preserve">NETWORK   </w:t>
            </w:r>
          </w:p>
        </w:tc>
        <w:tc>
          <w:tcPr>
            <w:tcW w:w="3325" w:type="dxa"/>
          </w:tcPr>
          <w:p w14:paraId="6954D1C0" w14:textId="0CA1FAF8" w:rsidR="00DD5B62" w:rsidRPr="00DD5B62" w:rsidRDefault="00DD5B62" w:rsidP="003941EF">
            <w:pPr>
              <w:rPr>
                <w:rFonts w:eastAsia="Times New Roman" w:cstheme="minorHAnsi"/>
              </w:rPr>
            </w:pPr>
            <w:r>
              <w:rPr>
                <w:rFonts w:eastAsia="Times New Roman" w:cstheme="minorHAnsi"/>
              </w:rPr>
              <w:t>EIP or IHSP</w:t>
            </w:r>
          </w:p>
        </w:tc>
      </w:tr>
      <w:tr w:rsidR="00DD5B62" w:rsidRPr="00DD5B62" w14:paraId="6F2B756D" w14:textId="75FFB4BF" w:rsidTr="00DD5B62">
        <w:tc>
          <w:tcPr>
            <w:tcW w:w="3108" w:type="dxa"/>
          </w:tcPr>
          <w:p w14:paraId="31A83A05" w14:textId="77777777" w:rsidR="00DD5B62" w:rsidRPr="00DD5B62" w:rsidRDefault="00DD5B62" w:rsidP="003941EF">
            <w:pPr>
              <w:rPr>
                <w:rFonts w:eastAsia="Times New Roman" w:cstheme="minorHAnsi"/>
              </w:rPr>
            </w:pPr>
          </w:p>
        </w:tc>
        <w:tc>
          <w:tcPr>
            <w:tcW w:w="2197" w:type="dxa"/>
          </w:tcPr>
          <w:p w14:paraId="4C72E797" w14:textId="61771D34" w:rsidR="00DD5B62" w:rsidRPr="00DD5B62" w:rsidRDefault="00DD5B62" w:rsidP="003941EF">
            <w:pPr>
              <w:rPr>
                <w:rFonts w:eastAsia="Times New Roman" w:cstheme="minorHAnsi"/>
              </w:rPr>
            </w:pPr>
            <w:r w:rsidRPr="00DD5B62">
              <w:rPr>
                <w:rFonts w:eastAsia="Times New Roman" w:cstheme="minorHAnsi"/>
              </w:rPr>
              <w:t xml:space="preserve">SEASON         </w:t>
            </w:r>
          </w:p>
        </w:tc>
        <w:tc>
          <w:tcPr>
            <w:tcW w:w="3325" w:type="dxa"/>
          </w:tcPr>
          <w:p w14:paraId="6DC60935" w14:textId="2FBEFFE7" w:rsidR="00DD5B62" w:rsidRPr="00DD5B62" w:rsidRDefault="00DD5B62" w:rsidP="003941EF">
            <w:pPr>
              <w:rPr>
                <w:rFonts w:eastAsia="Times New Roman" w:cstheme="minorHAnsi"/>
              </w:rPr>
            </w:pPr>
            <w:r>
              <w:rPr>
                <w:rFonts w:eastAsia="Times New Roman" w:cstheme="minorHAnsi"/>
              </w:rPr>
              <w:t xml:space="preserve">From </w:t>
            </w:r>
            <w:r>
              <w:rPr>
                <w:rFonts w:cstheme="minorHAnsi"/>
              </w:rPr>
              <w:t>2003-04 to 2019-20</w:t>
            </w:r>
          </w:p>
        </w:tc>
      </w:tr>
      <w:tr w:rsidR="00DD5B62" w:rsidRPr="00DD5B62" w14:paraId="788CACAB" w14:textId="615C1FFA" w:rsidTr="00DD5B62">
        <w:tc>
          <w:tcPr>
            <w:tcW w:w="3108" w:type="dxa"/>
          </w:tcPr>
          <w:p w14:paraId="674459C4" w14:textId="77777777" w:rsidR="00DD5B62" w:rsidRPr="00DD5B62" w:rsidRDefault="00DD5B62" w:rsidP="003941EF">
            <w:pPr>
              <w:rPr>
                <w:rFonts w:eastAsia="Times New Roman" w:cstheme="minorHAnsi"/>
              </w:rPr>
            </w:pPr>
          </w:p>
        </w:tc>
        <w:tc>
          <w:tcPr>
            <w:tcW w:w="2197" w:type="dxa"/>
          </w:tcPr>
          <w:p w14:paraId="7144D42D" w14:textId="1DC69B66" w:rsidR="00DD5B62" w:rsidRPr="00DD5B62" w:rsidRDefault="00DD5B62" w:rsidP="003941EF">
            <w:pPr>
              <w:rPr>
                <w:rFonts w:eastAsia="Times New Roman" w:cstheme="minorHAnsi"/>
              </w:rPr>
            </w:pPr>
            <w:r w:rsidRPr="00DD5B62">
              <w:rPr>
                <w:rFonts w:eastAsia="Times New Roman" w:cstheme="minorHAnsi"/>
              </w:rPr>
              <w:t xml:space="preserve">MMWR-YEAR       </w:t>
            </w:r>
          </w:p>
        </w:tc>
        <w:tc>
          <w:tcPr>
            <w:tcW w:w="3325" w:type="dxa"/>
          </w:tcPr>
          <w:p w14:paraId="26439F0D" w14:textId="77777777" w:rsidR="00DD5B62" w:rsidRPr="00DD5B62" w:rsidRDefault="00DD5B62" w:rsidP="003941EF">
            <w:pPr>
              <w:rPr>
                <w:rFonts w:eastAsia="Times New Roman" w:cstheme="minorHAnsi"/>
              </w:rPr>
            </w:pPr>
          </w:p>
        </w:tc>
      </w:tr>
      <w:tr w:rsidR="00DD5B62" w:rsidRPr="00DD5B62" w14:paraId="07E07E75" w14:textId="0B39786A" w:rsidTr="00DD5B62">
        <w:tc>
          <w:tcPr>
            <w:tcW w:w="3108" w:type="dxa"/>
          </w:tcPr>
          <w:p w14:paraId="30F1D9E2" w14:textId="77777777" w:rsidR="00DD5B62" w:rsidRPr="00DD5B62" w:rsidRDefault="00DD5B62" w:rsidP="003941EF">
            <w:pPr>
              <w:rPr>
                <w:rFonts w:eastAsia="Times New Roman" w:cstheme="minorHAnsi"/>
              </w:rPr>
            </w:pPr>
          </w:p>
        </w:tc>
        <w:tc>
          <w:tcPr>
            <w:tcW w:w="2197" w:type="dxa"/>
          </w:tcPr>
          <w:p w14:paraId="47C912BC" w14:textId="44349982" w:rsidR="00DD5B62" w:rsidRPr="00DD5B62" w:rsidRDefault="00DD5B62" w:rsidP="003941EF">
            <w:pPr>
              <w:rPr>
                <w:rFonts w:eastAsia="Times New Roman" w:cstheme="minorHAnsi"/>
              </w:rPr>
            </w:pPr>
            <w:r w:rsidRPr="00DD5B62">
              <w:rPr>
                <w:rFonts w:eastAsia="Times New Roman" w:cstheme="minorHAnsi"/>
              </w:rPr>
              <w:t xml:space="preserve">MMWR-WEEK      </w:t>
            </w:r>
          </w:p>
        </w:tc>
        <w:tc>
          <w:tcPr>
            <w:tcW w:w="3325" w:type="dxa"/>
          </w:tcPr>
          <w:p w14:paraId="36CD20F2" w14:textId="77777777" w:rsidR="00DD5B62" w:rsidRPr="00DD5B62" w:rsidRDefault="00DD5B62" w:rsidP="003941EF">
            <w:pPr>
              <w:rPr>
                <w:rFonts w:eastAsia="Times New Roman" w:cstheme="minorHAnsi"/>
              </w:rPr>
            </w:pPr>
          </w:p>
        </w:tc>
      </w:tr>
      <w:tr w:rsidR="00DD5B62" w:rsidRPr="00DD5B62" w14:paraId="5FC2F128" w14:textId="7675C4B8" w:rsidTr="00DD5B62">
        <w:tc>
          <w:tcPr>
            <w:tcW w:w="3108" w:type="dxa"/>
          </w:tcPr>
          <w:p w14:paraId="49D988D7" w14:textId="77777777" w:rsidR="00DD5B62" w:rsidRPr="00DD5B62" w:rsidRDefault="00DD5B62" w:rsidP="003941EF">
            <w:pPr>
              <w:rPr>
                <w:rFonts w:eastAsia="Times New Roman" w:cstheme="minorHAnsi"/>
              </w:rPr>
            </w:pPr>
          </w:p>
        </w:tc>
        <w:tc>
          <w:tcPr>
            <w:tcW w:w="2197" w:type="dxa"/>
          </w:tcPr>
          <w:p w14:paraId="4A5FFEE8" w14:textId="49407BC8" w:rsidR="00DD5B62" w:rsidRPr="00DD5B62" w:rsidRDefault="00DD5B62" w:rsidP="003941EF">
            <w:pPr>
              <w:rPr>
                <w:rFonts w:eastAsia="Times New Roman" w:cstheme="minorHAnsi"/>
              </w:rPr>
            </w:pPr>
            <w:r w:rsidRPr="00DD5B62">
              <w:rPr>
                <w:rFonts w:eastAsia="Times New Roman" w:cstheme="minorHAnsi"/>
              </w:rPr>
              <w:t xml:space="preserve">AGE CATEGORY    </w:t>
            </w:r>
          </w:p>
        </w:tc>
        <w:tc>
          <w:tcPr>
            <w:tcW w:w="3325" w:type="dxa"/>
          </w:tcPr>
          <w:p w14:paraId="1F08BAC3" w14:textId="77777777" w:rsidR="00DD5B62" w:rsidRPr="00DD5B62" w:rsidRDefault="00DD5B62" w:rsidP="003941EF">
            <w:pPr>
              <w:rPr>
                <w:rFonts w:eastAsia="Times New Roman" w:cstheme="minorHAnsi"/>
              </w:rPr>
            </w:pPr>
          </w:p>
        </w:tc>
      </w:tr>
      <w:tr w:rsidR="00DD5B62" w:rsidRPr="00DD5B62" w14:paraId="2A418531" w14:textId="2CF17E51" w:rsidTr="00DD5B62">
        <w:tc>
          <w:tcPr>
            <w:tcW w:w="3108" w:type="dxa"/>
          </w:tcPr>
          <w:p w14:paraId="35EB85E0" w14:textId="77777777" w:rsidR="00DD5B62" w:rsidRPr="00DD5B62" w:rsidRDefault="00DD5B62" w:rsidP="003941EF">
            <w:pPr>
              <w:rPr>
                <w:rFonts w:eastAsia="Times New Roman" w:cstheme="minorHAnsi"/>
              </w:rPr>
            </w:pPr>
          </w:p>
        </w:tc>
        <w:tc>
          <w:tcPr>
            <w:tcW w:w="2197" w:type="dxa"/>
          </w:tcPr>
          <w:p w14:paraId="54AA746E" w14:textId="39636A23" w:rsidR="00DD5B62" w:rsidRPr="00DD5B62" w:rsidRDefault="00DD5B62" w:rsidP="003941EF">
            <w:pPr>
              <w:rPr>
                <w:rFonts w:eastAsia="Times New Roman" w:cstheme="minorHAnsi"/>
              </w:rPr>
            </w:pPr>
            <w:r w:rsidRPr="00DD5B62">
              <w:rPr>
                <w:rFonts w:eastAsia="Times New Roman" w:cstheme="minorHAnsi"/>
              </w:rPr>
              <w:t xml:space="preserve">CUMULATIVE RATE </w:t>
            </w:r>
          </w:p>
        </w:tc>
        <w:tc>
          <w:tcPr>
            <w:tcW w:w="3325" w:type="dxa"/>
          </w:tcPr>
          <w:p w14:paraId="4787BB19" w14:textId="77777777" w:rsidR="00DD5B62" w:rsidRPr="00DD5B62" w:rsidRDefault="00DD5B62" w:rsidP="003941EF">
            <w:pPr>
              <w:rPr>
                <w:rFonts w:eastAsia="Times New Roman" w:cstheme="minorHAnsi"/>
              </w:rPr>
            </w:pPr>
          </w:p>
        </w:tc>
      </w:tr>
      <w:tr w:rsidR="00DD5B62" w:rsidRPr="00DD5B62" w14:paraId="34EB6736" w14:textId="3D218779" w:rsidTr="00DD5B62">
        <w:tc>
          <w:tcPr>
            <w:tcW w:w="3108" w:type="dxa"/>
          </w:tcPr>
          <w:p w14:paraId="4EF3928B" w14:textId="77777777" w:rsidR="00DD5B62" w:rsidRPr="00DD5B62" w:rsidRDefault="00DD5B62" w:rsidP="003941EF">
            <w:pPr>
              <w:rPr>
                <w:rFonts w:eastAsia="Times New Roman" w:cstheme="minorHAnsi"/>
              </w:rPr>
            </w:pPr>
          </w:p>
        </w:tc>
        <w:tc>
          <w:tcPr>
            <w:tcW w:w="2197" w:type="dxa"/>
          </w:tcPr>
          <w:p w14:paraId="2E9F6B7D" w14:textId="277BAEF4" w:rsidR="00DD5B62" w:rsidRPr="00DD5B62" w:rsidRDefault="00DD5B62" w:rsidP="003941EF">
            <w:pPr>
              <w:rPr>
                <w:rFonts w:eastAsia="Times New Roman" w:cstheme="minorHAnsi"/>
              </w:rPr>
            </w:pPr>
            <w:r w:rsidRPr="00DD5B62">
              <w:rPr>
                <w:rFonts w:eastAsia="Times New Roman" w:cstheme="minorHAnsi"/>
              </w:rPr>
              <w:t>WEEKLY RATE</w:t>
            </w:r>
          </w:p>
        </w:tc>
        <w:tc>
          <w:tcPr>
            <w:tcW w:w="3325" w:type="dxa"/>
          </w:tcPr>
          <w:p w14:paraId="4A56FB2F" w14:textId="77777777" w:rsidR="00DD5B62" w:rsidRPr="00DD5B62" w:rsidRDefault="00DD5B62" w:rsidP="003941EF">
            <w:pPr>
              <w:rPr>
                <w:rFonts w:eastAsia="Times New Roman" w:cstheme="minorHAnsi"/>
              </w:rPr>
            </w:pPr>
          </w:p>
        </w:tc>
      </w:tr>
    </w:tbl>
    <w:p w14:paraId="245D0767" w14:textId="77777777" w:rsidR="00AF5DF2" w:rsidRPr="0019665E" w:rsidRDefault="00AF5DF2" w:rsidP="00111BFB">
      <w:pPr>
        <w:ind w:left="720"/>
        <w:rPr>
          <w:rFonts w:eastAsia="Times New Roman" w:cstheme="minorHAnsi"/>
        </w:rPr>
      </w:pPr>
    </w:p>
    <w:p w14:paraId="69EFD513" w14:textId="657C9FF4" w:rsidR="00111BFB" w:rsidRDefault="00E85193">
      <w:pPr>
        <w:rPr>
          <w:rFonts w:cstheme="minorHAnsi"/>
        </w:rPr>
      </w:pPr>
      <w:r w:rsidRPr="0019665E">
        <w:rPr>
          <w:rFonts w:eastAsia="Times New Roman" w:cstheme="minorHAnsi"/>
        </w:rPr>
        <w:t xml:space="preserve">There are 19 </w:t>
      </w:r>
      <w:r w:rsidR="008559BC" w:rsidRPr="0019665E">
        <w:rPr>
          <w:rFonts w:eastAsia="Times New Roman" w:cstheme="minorHAnsi"/>
        </w:rPr>
        <w:t>States</w:t>
      </w:r>
      <w:r w:rsidRPr="0019665E">
        <w:rPr>
          <w:rFonts w:eastAsia="Times New Roman" w:cstheme="minorHAnsi"/>
        </w:rPr>
        <w:t xml:space="preserve"> in total</w:t>
      </w:r>
      <w:r w:rsidR="008559BC" w:rsidRPr="0019665E">
        <w:rPr>
          <w:rFonts w:eastAsia="Times New Roman" w:cstheme="minorHAnsi"/>
        </w:rPr>
        <w:t xml:space="preserve"> participated in EIP </w:t>
      </w:r>
      <w:r w:rsidRPr="0019665E">
        <w:rPr>
          <w:rFonts w:eastAsia="Times New Roman" w:cstheme="minorHAnsi"/>
        </w:rPr>
        <w:t>or</w:t>
      </w:r>
      <w:r w:rsidR="008559BC" w:rsidRPr="0019665E">
        <w:rPr>
          <w:rFonts w:eastAsia="Times New Roman" w:cstheme="minorHAnsi"/>
        </w:rPr>
        <w:t xml:space="preserve"> </w:t>
      </w:r>
      <w:r w:rsidR="008559BC" w:rsidRPr="0019665E">
        <w:rPr>
          <w:rFonts w:cstheme="minorHAnsi"/>
        </w:rPr>
        <w:t xml:space="preserve">IHSP: </w:t>
      </w:r>
    </w:p>
    <w:p w14:paraId="79112E00" w14:textId="77777777" w:rsidR="008A19DE" w:rsidRPr="0019665E" w:rsidRDefault="008A19DE">
      <w:pPr>
        <w:rPr>
          <w:rFonts w:cstheme="minorHAnsi"/>
        </w:rPr>
      </w:pPr>
    </w:p>
    <w:p w14:paraId="2BE1AA56" w14:textId="2987218B" w:rsidR="008559BC" w:rsidRPr="0019665E" w:rsidRDefault="008559BC" w:rsidP="00E85193">
      <w:pPr>
        <w:ind w:left="720"/>
        <w:rPr>
          <w:rFonts w:cstheme="minorHAnsi"/>
        </w:rPr>
      </w:pPr>
      <w:r w:rsidRPr="0019665E">
        <w:rPr>
          <w:rFonts w:cstheme="minorHAnsi"/>
        </w:rPr>
        <w:t xml:space="preserve">California          </w:t>
      </w:r>
    </w:p>
    <w:p w14:paraId="321E652E" w14:textId="77777777" w:rsidR="008559BC" w:rsidRPr="0019665E" w:rsidRDefault="008559BC" w:rsidP="00E85193">
      <w:pPr>
        <w:ind w:left="720"/>
        <w:rPr>
          <w:rFonts w:cstheme="minorHAnsi"/>
        </w:rPr>
      </w:pPr>
      <w:r w:rsidRPr="0019665E">
        <w:rPr>
          <w:rFonts w:cstheme="minorHAnsi"/>
        </w:rPr>
        <w:t xml:space="preserve">Colorado             </w:t>
      </w:r>
    </w:p>
    <w:p w14:paraId="5F2B7428" w14:textId="77777777" w:rsidR="008559BC" w:rsidRPr="0019665E" w:rsidRDefault="008559BC" w:rsidP="00E85193">
      <w:pPr>
        <w:ind w:left="720"/>
        <w:rPr>
          <w:rFonts w:cstheme="minorHAnsi"/>
        </w:rPr>
      </w:pPr>
      <w:r w:rsidRPr="0019665E">
        <w:rPr>
          <w:rFonts w:cstheme="minorHAnsi"/>
        </w:rPr>
        <w:t xml:space="preserve">Connecticut          </w:t>
      </w:r>
    </w:p>
    <w:p w14:paraId="0F20CE90" w14:textId="77777777" w:rsidR="008559BC" w:rsidRPr="0019665E" w:rsidRDefault="008559BC" w:rsidP="00E85193">
      <w:pPr>
        <w:ind w:left="720"/>
        <w:rPr>
          <w:rFonts w:cstheme="minorHAnsi"/>
        </w:rPr>
      </w:pPr>
      <w:r w:rsidRPr="0019665E">
        <w:rPr>
          <w:rFonts w:cstheme="minorHAnsi"/>
        </w:rPr>
        <w:t xml:space="preserve">Georgia              </w:t>
      </w:r>
    </w:p>
    <w:p w14:paraId="75935DA1" w14:textId="77777777" w:rsidR="008559BC" w:rsidRPr="0019665E" w:rsidRDefault="008559BC" w:rsidP="00E85193">
      <w:pPr>
        <w:ind w:left="720"/>
        <w:rPr>
          <w:rFonts w:cstheme="minorHAnsi"/>
        </w:rPr>
      </w:pPr>
      <w:r w:rsidRPr="0019665E">
        <w:rPr>
          <w:rFonts w:cstheme="minorHAnsi"/>
        </w:rPr>
        <w:t xml:space="preserve">Maryland             </w:t>
      </w:r>
    </w:p>
    <w:p w14:paraId="4FAD43C6" w14:textId="77777777" w:rsidR="008559BC" w:rsidRPr="0019665E" w:rsidRDefault="008559BC" w:rsidP="00E85193">
      <w:pPr>
        <w:ind w:left="720"/>
        <w:rPr>
          <w:rFonts w:cstheme="minorHAnsi"/>
        </w:rPr>
      </w:pPr>
      <w:r w:rsidRPr="0019665E">
        <w:rPr>
          <w:rFonts w:cstheme="minorHAnsi"/>
        </w:rPr>
        <w:t xml:space="preserve">Minnesota            </w:t>
      </w:r>
    </w:p>
    <w:p w14:paraId="475F771A" w14:textId="425C4666" w:rsidR="008559BC" w:rsidRPr="0019665E" w:rsidRDefault="008559BC" w:rsidP="00E85193">
      <w:pPr>
        <w:ind w:left="720"/>
        <w:rPr>
          <w:rFonts w:cstheme="minorHAnsi"/>
        </w:rPr>
      </w:pPr>
      <w:r w:rsidRPr="0019665E">
        <w:rPr>
          <w:rFonts w:cstheme="minorHAnsi"/>
        </w:rPr>
        <w:t xml:space="preserve">New Mexico         </w:t>
      </w:r>
    </w:p>
    <w:p w14:paraId="0DD600DF" w14:textId="77777777" w:rsidR="008559BC" w:rsidRPr="0019665E" w:rsidRDefault="008559BC" w:rsidP="00E85193">
      <w:pPr>
        <w:ind w:left="720"/>
        <w:rPr>
          <w:rFonts w:cstheme="minorHAnsi"/>
        </w:rPr>
      </w:pPr>
      <w:r w:rsidRPr="0019665E">
        <w:rPr>
          <w:rFonts w:cstheme="minorHAnsi"/>
        </w:rPr>
        <w:t xml:space="preserve">New York - Albany   </w:t>
      </w:r>
    </w:p>
    <w:p w14:paraId="7C270F77" w14:textId="77777777" w:rsidR="008559BC" w:rsidRPr="0019665E" w:rsidRDefault="008559BC" w:rsidP="00E85193">
      <w:pPr>
        <w:ind w:left="720"/>
        <w:rPr>
          <w:rFonts w:cstheme="minorHAnsi"/>
        </w:rPr>
      </w:pPr>
      <w:r w:rsidRPr="0019665E">
        <w:rPr>
          <w:rFonts w:cstheme="minorHAnsi"/>
        </w:rPr>
        <w:t xml:space="preserve">New York - Rochester </w:t>
      </w:r>
    </w:p>
    <w:p w14:paraId="17B1D4D3" w14:textId="77777777" w:rsidR="008559BC" w:rsidRPr="0019665E" w:rsidRDefault="008559BC" w:rsidP="00E85193">
      <w:pPr>
        <w:ind w:left="720"/>
        <w:rPr>
          <w:rFonts w:cstheme="minorHAnsi"/>
        </w:rPr>
      </w:pPr>
      <w:r w:rsidRPr="0019665E">
        <w:rPr>
          <w:rFonts w:cstheme="minorHAnsi"/>
        </w:rPr>
        <w:t xml:space="preserve">Oregon               </w:t>
      </w:r>
    </w:p>
    <w:p w14:paraId="5AB3C7C5" w14:textId="77777777" w:rsidR="008559BC" w:rsidRPr="0019665E" w:rsidRDefault="008559BC" w:rsidP="00E85193">
      <w:pPr>
        <w:ind w:left="720"/>
        <w:rPr>
          <w:rFonts w:cstheme="minorHAnsi"/>
        </w:rPr>
      </w:pPr>
      <w:r w:rsidRPr="0019665E">
        <w:rPr>
          <w:rFonts w:cstheme="minorHAnsi"/>
        </w:rPr>
        <w:t xml:space="preserve">Tennessee           </w:t>
      </w:r>
    </w:p>
    <w:p w14:paraId="3BCDD4EC" w14:textId="77777777" w:rsidR="008559BC" w:rsidRPr="0019665E" w:rsidRDefault="008559BC" w:rsidP="00E85193">
      <w:pPr>
        <w:ind w:left="720"/>
        <w:rPr>
          <w:rFonts w:cstheme="minorHAnsi"/>
        </w:rPr>
      </w:pPr>
      <w:r w:rsidRPr="0019665E">
        <w:rPr>
          <w:rFonts w:cstheme="minorHAnsi"/>
        </w:rPr>
        <w:t xml:space="preserve">Idaho               </w:t>
      </w:r>
    </w:p>
    <w:p w14:paraId="23F5EE93" w14:textId="77777777" w:rsidR="008559BC" w:rsidRPr="0019665E" w:rsidRDefault="008559BC" w:rsidP="00E85193">
      <w:pPr>
        <w:ind w:left="720"/>
        <w:rPr>
          <w:rFonts w:cstheme="minorHAnsi"/>
        </w:rPr>
      </w:pPr>
      <w:r w:rsidRPr="0019665E">
        <w:rPr>
          <w:rFonts w:cstheme="minorHAnsi"/>
        </w:rPr>
        <w:t xml:space="preserve">Iowa                </w:t>
      </w:r>
    </w:p>
    <w:p w14:paraId="3468F2F1" w14:textId="2CCE4137" w:rsidR="008559BC" w:rsidRPr="0019665E" w:rsidRDefault="008559BC" w:rsidP="00E85193">
      <w:pPr>
        <w:ind w:left="720"/>
        <w:rPr>
          <w:rFonts w:cstheme="minorHAnsi"/>
        </w:rPr>
      </w:pPr>
      <w:r w:rsidRPr="0019665E">
        <w:rPr>
          <w:rFonts w:cstheme="minorHAnsi"/>
        </w:rPr>
        <w:t xml:space="preserve">Michigan            </w:t>
      </w:r>
    </w:p>
    <w:p w14:paraId="13D08008" w14:textId="3A6B517C" w:rsidR="008559BC" w:rsidRPr="0019665E" w:rsidRDefault="008559BC" w:rsidP="00E85193">
      <w:pPr>
        <w:ind w:left="720"/>
        <w:rPr>
          <w:rFonts w:cstheme="minorHAnsi"/>
        </w:rPr>
      </w:pPr>
      <w:r w:rsidRPr="0019665E">
        <w:rPr>
          <w:rFonts w:cstheme="minorHAnsi"/>
        </w:rPr>
        <w:t>Ohio</w:t>
      </w:r>
    </w:p>
    <w:p w14:paraId="383D046C" w14:textId="77777777" w:rsidR="00E85193" w:rsidRPr="0019665E" w:rsidRDefault="00E85193" w:rsidP="00E85193">
      <w:pPr>
        <w:ind w:left="720"/>
        <w:rPr>
          <w:rFonts w:cstheme="minorHAnsi"/>
        </w:rPr>
      </w:pPr>
      <w:r w:rsidRPr="0019665E">
        <w:rPr>
          <w:rFonts w:cstheme="minorHAnsi"/>
        </w:rPr>
        <w:t xml:space="preserve">Oklahoma            </w:t>
      </w:r>
    </w:p>
    <w:p w14:paraId="2A796982" w14:textId="77777777" w:rsidR="00E85193" w:rsidRPr="0019665E" w:rsidRDefault="00E85193" w:rsidP="00E85193">
      <w:pPr>
        <w:ind w:left="720"/>
        <w:rPr>
          <w:rFonts w:cstheme="minorHAnsi"/>
        </w:rPr>
      </w:pPr>
      <w:r w:rsidRPr="0019665E">
        <w:rPr>
          <w:rFonts w:cstheme="minorHAnsi"/>
        </w:rPr>
        <w:t xml:space="preserve">Rhode Island         </w:t>
      </w:r>
    </w:p>
    <w:p w14:paraId="555800A4" w14:textId="77777777" w:rsidR="00E85193" w:rsidRPr="0019665E" w:rsidRDefault="00E85193" w:rsidP="00E85193">
      <w:pPr>
        <w:ind w:left="720"/>
        <w:rPr>
          <w:rFonts w:cstheme="minorHAnsi"/>
        </w:rPr>
      </w:pPr>
      <w:r w:rsidRPr="0019665E">
        <w:rPr>
          <w:rFonts w:cstheme="minorHAnsi"/>
        </w:rPr>
        <w:t xml:space="preserve">South Dakota         </w:t>
      </w:r>
    </w:p>
    <w:p w14:paraId="6AD0B94D" w14:textId="1C0283FA" w:rsidR="008559BC" w:rsidRPr="0019665E" w:rsidRDefault="00E85193" w:rsidP="00E85193">
      <w:pPr>
        <w:ind w:left="720"/>
        <w:rPr>
          <w:rFonts w:cstheme="minorHAnsi"/>
        </w:rPr>
      </w:pPr>
      <w:r w:rsidRPr="0019665E">
        <w:rPr>
          <w:rFonts w:cstheme="minorHAnsi"/>
        </w:rPr>
        <w:t>Utah</w:t>
      </w:r>
    </w:p>
    <w:p w14:paraId="3FA98AA7" w14:textId="663904E7" w:rsidR="00E85193" w:rsidRPr="0019665E" w:rsidRDefault="00E85193" w:rsidP="00E85193">
      <w:pPr>
        <w:rPr>
          <w:rFonts w:cstheme="minorHAnsi"/>
        </w:rPr>
      </w:pPr>
    </w:p>
    <w:p w14:paraId="347E02C3" w14:textId="72D30330" w:rsidR="00E85193" w:rsidRPr="0019665E" w:rsidRDefault="00E85193" w:rsidP="00E85193">
      <w:pPr>
        <w:rPr>
          <w:rFonts w:cstheme="minorHAnsi"/>
        </w:rPr>
      </w:pPr>
      <w:r w:rsidRPr="0019665E">
        <w:rPr>
          <w:rFonts w:cstheme="minorHAnsi"/>
        </w:rPr>
        <w:t xml:space="preserve">For more information, please read the following text or visit </w:t>
      </w:r>
      <w:hyperlink r:id="rId10" w:anchor="Viral" w:history="1">
        <w:r w:rsidRPr="0019665E">
          <w:rPr>
            <w:rStyle w:val="Hyperlink"/>
            <w:rFonts w:eastAsia="Times New Roman" w:cstheme="minorHAnsi"/>
          </w:rPr>
          <w:t>http://www.cdc.gov/flu/weekly/overview.htm#Viral</w:t>
        </w:r>
      </w:hyperlink>
      <w:r w:rsidRPr="0019665E">
        <w:rPr>
          <w:rStyle w:val="Hyperlink"/>
          <w:rFonts w:eastAsia="Times New Roman" w:cstheme="minorHAnsi"/>
        </w:rPr>
        <w:t>.</w:t>
      </w:r>
    </w:p>
    <w:p w14:paraId="30CE2666" w14:textId="77777777" w:rsidR="00111BFB" w:rsidRPr="0019665E" w:rsidRDefault="00111BFB" w:rsidP="00111BFB">
      <w:pPr>
        <w:pStyle w:val="NormalWeb"/>
        <w:rPr>
          <w:rFonts w:asciiTheme="minorHAnsi" w:hAnsiTheme="minorHAnsi" w:cstheme="minorHAnsi"/>
        </w:rPr>
      </w:pPr>
      <w:r w:rsidRPr="0019665E">
        <w:rPr>
          <w:rFonts w:asciiTheme="minorHAnsi" w:hAnsiTheme="minorHAnsi" w:cstheme="minorHAnsi"/>
        </w:rPr>
        <w:t>Laboratory confirmed influenza-associated hospitalizations in children and adults are monitored through the Influenza Hospitalization Surveillance Network (</w:t>
      </w:r>
      <w:proofErr w:type="spellStart"/>
      <w:r w:rsidRPr="0019665E">
        <w:rPr>
          <w:rFonts w:asciiTheme="minorHAnsi" w:hAnsiTheme="minorHAnsi" w:cstheme="minorHAnsi"/>
        </w:rPr>
        <w:t>FluSurv</w:t>
      </w:r>
      <w:proofErr w:type="spellEnd"/>
      <w:r w:rsidRPr="0019665E">
        <w:rPr>
          <w:rFonts w:asciiTheme="minorHAnsi" w:hAnsiTheme="minorHAnsi" w:cstheme="minorHAnsi"/>
        </w:rPr>
        <w:t xml:space="preserve">-NET). </w:t>
      </w:r>
      <w:proofErr w:type="spellStart"/>
      <w:r w:rsidRPr="0019665E">
        <w:rPr>
          <w:rFonts w:asciiTheme="minorHAnsi" w:hAnsiTheme="minorHAnsi" w:cstheme="minorHAnsi"/>
        </w:rPr>
        <w:t>FluSurv</w:t>
      </w:r>
      <w:proofErr w:type="spellEnd"/>
      <w:r w:rsidRPr="0019665E">
        <w:rPr>
          <w:rFonts w:asciiTheme="minorHAnsi" w:hAnsiTheme="minorHAnsi" w:cstheme="minorHAnsi"/>
        </w:rPr>
        <w:t xml:space="preserve">-NET conducts population-based surveillance for laboratory-confirmed influenza-related hospitalizations in children younger than 18 years of age (since the 2003-2004 influenza season) and adults (since the 2005-2006 influenza season). The network includes more than 70 counties in the 10 Emerging Infections Program (EIP) states (CA, CO, CT, GA, MD, MN, NM, NY, OR, and TN) and additional Influenza Hospitalization Surveillance Project (IHSP) states. The IHSP began during the 2009-2010 season to enhance surveillance during the 2009 H1N1 pandemic. IHSP </w:t>
      </w:r>
      <w:r w:rsidRPr="0019665E">
        <w:rPr>
          <w:rFonts w:asciiTheme="minorHAnsi" w:hAnsiTheme="minorHAnsi" w:cstheme="minorHAnsi"/>
        </w:rPr>
        <w:lastRenderedPageBreak/>
        <w:t>sites included IA, ID, MI, OK and SD during the 2009-2010 season; ID, MI, OH, OK, RI, and UT during the 2010-2011 season; MI, OH, RI, and UT during the 2011-2012 season; IA, MI, OH, RI, and UT during the 2012-2013 season; and MI, OH, and UT during the 2013-2014 through 2019-20 seasons.</w:t>
      </w:r>
    </w:p>
    <w:p w14:paraId="6FA3F17E" w14:textId="77777777" w:rsidR="00111BFB" w:rsidRPr="0019665E" w:rsidRDefault="00111BFB" w:rsidP="00111BFB">
      <w:pPr>
        <w:pStyle w:val="NormalWeb"/>
        <w:rPr>
          <w:rFonts w:asciiTheme="minorHAnsi" w:hAnsiTheme="minorHAnsi" w:cstheme="minorHAnsi"/>
        </w:rPr>
      </w:pPr>
      <w:r w:rsidRPr="0019665E">
        <w:rPr>
          <w:rFonts w:asciiTheme="minorHAnsi" w:hAnsiTheme="minorHAnsi" w:cstheme="minorHAnsi"/>
        </w:rPr>
        <w:t>Cases are identified by reviewing hospital laboratory and admission databases and infection control logs for patients hospitalized during the influenza season with a documented positive influenza test (i.e., viral culture, direct/indirect fluorescent antibody assay (DFA/IFA), rapid influenza diagnostic test (RIDT), or molecular assays including reverse transcription-polymerase chain reaction (RT-PCR)). Data gathered are used to estimate age-specific hospitalization rates on a weekly basis and describe characteristics of persons hospitalized with influenza illness. The rates provided are likely to be an underestimate as influenza-related hospitalizations can be missed if testing is not performed.</w:t>
      </w:r>
    </w:p>
    <w:p w14:paraId="7F7451D3" w14:textId="77777777" w:rsidR="00111BFB" w:rsidRPr="0019665E" w:rsidRDefault="00111BFB" w:rsidP="00111BFB">
      <w:pPr>
        <w:pStyle w:val="NormalWeb"/>
        <w:rPr>
          <w:rFonts w:asciiTheme="minorHAnsi" w:hAnsiTheme="minorHAnsi" w:cstheme="minorHAnsi"/>
        </w:rPr>
      </w:pPr>
      <w:r w:rsidRPr="0019665E">
        <w:rPr>
          <w:rFonts w:asciiTheme="minorHAnsi" w:hAnsiTheme="minorHAnsi" w:cstheme="minorHAnsi"/>
        </w:rPr>
        <w:t>Patient charts are reviewed to determine if any of the following categories of high-risk medical conditions are recorded in the chart at the time of hospitalization:</w:t>
      </w:r>
    </w:p>
    <w:p w14:paraId="2C7410F4"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Asthma/reactive airway disease;</w:t>
      </w:r>
    </w:p>
    <w:p w14:paraId="7BBB1982"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Blood disorder/hemoglobinopathy;</w:t>
      </w:r>
    </w:p>
    <w:p w14:paraId="53CE8B42"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Cardiovascular disease;</w:t>
      </w:r>
    </w:p>
    <w:p w14:paraId="35C146B5"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Chronic lung disease;</w:t>
      </w:r>
    </w:p>
    <w:p w14:paraId="52C25E87"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Chronic metabolic disease;</w:t>
      </w:r>
    </w:p>
    <w:p w14:paraId="05B1338B"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Gastrointestinal/liver disease;</w:t>
      </w:r>
    </w:p>
    <w:p w14:paraId="7A130E72"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Immunocompromised condition;</w:t>
      </w:r>
    </w:p>
    <w:p w14:paraId="481E1909"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Neurologic disorder;</w:t>
      </w:r>
    </w:p>
    <w:p w14:paraId="45B33E38"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Neuromuscular disorder;</w:t>
      </w:r>
    </w:p>
    <w:p w14:paraId="0866BCEB"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Obesity;</w:t>
      </w:r>
    </w:p>
    <w:p w14:paraId="686A3D4A"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Pregnancy status;</w:t>
      </w:r>
    </w:p>
    <w:p w14:paraId="4EBE2962"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Prematurity (pediatric cases only);</w:t>
      </w:r>
    </w:p>
    <w:p w14:paraId="704664D9"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Renal disease; and</w:t>
      </w:r>
    </w:p>
    <w:p w14:paraId="5797C746" w14:textId="77777777" w:rsidR="00111BFB" w:rsidRPr="0019665E" w:rsidRDefault="00111BFB" w:rsidP="00111BFB">
      <w:pPr>
        <w:numPr>
          <w:ilvl w:val="0"/>
          <w:numId w:val="1"/>
        </w:numPr>
        <w:spacing w:before="100" w:beforeAutospacing="1" w:after="100" w:afterAutospacing="1"/>
        <w:rPr>
          <w:rFonts w:cstheme="minorHAnsi"/>
        </w:rPr>
      </w:pPr>
      <w:r w:rsidRPr="0019665E">
        <w:rPr>
          <w:rFonts w:cstheme="minorHAnsi"/>
        </w:rPr>
        <w:t>Rheumatologic/autoimmune/inflammatory conditions.</w:t>
      </w:r>
    </w:p>
    <w:p w14:paraId="74C4BEBD" w14:textId="77777777" w:rsidR="00111BFB" w:rsidRPr="0019665E" w:rsidRDefault="00111BFB" w:rsidP="00111BFB">
      <w:pPr>
        <w:pStyle w:val="NormalWeb"/>
        <w:rPr>
          <w:rFonts w:asciiTheme="minorHAnsi" w:hAnsiTheme="minorHAnsi" w:cstheme="minorHAnsi"/>
        </w:rPr>
      </w:pPr>
      <w:r w:rsidRPr="0019665E">
        <w:rPr>
          <w:rFonts w:asciiTheme="minorHAnsi" w:hAnsiTheme="minorHAnsi" w:cstheme="minorHAnsi"/>
        </w:rPr>
        <w:t xml:space="preserve">During the 2017-18 season, seven </w:t>
      </w:r>
      <w:proofErr w:type="spellStart"/>
      <w:r w:rsidRPr="0019665E">
        <w:rPr>
          <w:rFonts w:asciiTheme="minorHAnsi" w:hAnsiTheme="minorHAnsi" w:cstheme="minorHAnsi"/>
        </w:rPr>
        <w:t>FluSurv</w:t>
      </w:r>
      <w:proofErr w:type="spellEnd"/>
      <w:r w:rsidRPr="0019665E">
        <w:rPr>
          <w:rFonts w:asciiTheme="minorHAnsi" w:hAnsiTheme="minorHAnsi" w:cstheme="minorHAnsi"/>
        </w:rPr>
        <w:t xml:space="preserve">-NET sites (CA, GA, MN, NM, NYA, OH, OR) conducted random sampling to select cases ≥50 years for medical chart abstraction, while still performing full chart abstractions of all cases &lt;50 years. During the 2018-19 season, six sites (CA, GA, NM, NYA, OH, OR) conducted random sampling of cases ≥65 years for medical chart abstraction. All other sites performed full chart abstractions on all cases. Data on age, sex, admission date, in-hospital death, and influenza test results were collected for all cases. For each season going forward, including 2019-20, sampling for medical chart abstraction may be considered in cases ≥50 years. In early January of each season, observed case counts across all </w:t>
      </w:r>
      <w:proofErr w:type="spellStart"/>
      <w:r w:rsidRPr="0019665E">
        <w:rPr>
          <w:rFonts w:asciiTheme="minorHAnsi" w:hAnsiTheme="minorHAnsi" w:cstheme="minorHAnsi"/>
        </w:rPr>
        <w:t>FluSurv</w:t>
      </w:r>
      <w:proofErr w:type="spellEnd"/>
      <w:r w:rsidRPr="0019665E">
        <w:rPr>
          <w:rFonts w:asciiTheme="minorHAnsi" w:hAnsiTheme="minorHAnsi" w:cstheme="minorHAnsi"/>
        </w:rPr>
        <w:t>-NET sites will be compared against predetermined thresholds to determine whether sampling will be implemented for the season.</w:t>
      </w:r>
    </w:p>
    <w:p w14:paraId="3AD65198" w14:textId="77777777" w:rsidR="00111BFB" w:rsidRPr="0019665E" w:rsidRDefault="00111BFB" w:rsidP="00111BFB">
      <w:pPr>
        <w:pStyle w:val="NormalWeb"/>
        <w:rPr>
          <w:rFonts w:asciiTheme="minorHAnsi" w:hAnsiTheme="minorHAnsi" w:cstheme="minorHAnsi"/>
        </w:rPr>
      </w:pPr>
      <w:r w:rsidRPr="0019665E">
        <w:rPr>
          <w:rFonts w:asciiTheme="minorHAnsi" w:hAnsiTheme="minorHAnsi" w:cstheme="minorHAnsi"/>
        </w:rPr>
        <w:lastRenderedPageBreak/>
        <w:t xml:space="preserve">Additional </w:t>
      </w:r>
      <w:proofErr w:type="spellStart"/>
      <w:r w:rsidRPr="0019665E">
        <w:rPr>
          <w:rFonts w:asciiTheme="minorHAnsi" w:hAnsiTheme="minorHAnsi" w:cstheme="minorHAnsi"/>
        </w:rPr>
        <w:t>FluSurv</w:t>
      </w:r>
      <w:proofErr w:type="spellEnd"/>
      <w:r w:rsidRPr="0019665E">
        <w:rPr>
          <w:rFonts w:asciiTheme="minorHAnsi" w:hAnsiTheme="minorHAnsi" w:cstheme="minorHAnsi"/>
        </w:rPr>
        <w:t xml:space="preserve">-NET data including </w:t>
      </w:r>
      <w:hyperlink r:id="rId11" w:history="1">
        <w:r w:rsidRPr="0019665E">
          <w:rPr>
            <w:rStyle w:val="Hyperlink"/>
            <w:rFonts w:asciiTheme="minorHAnsi" w:hAnsiTheme="minorHAnsi" w:cstheme="minorHAnsi"/>
          </w:rPr>
          <w:t>hospitalization rates for multiple seasons and different age groups</w:t>
        </w:r>
      </w:hyperlink>
      <w:r w:rsidRPr="0019665E">
        <w:rPr>
          <w:rFonts w:asciiTheme="minorHAnsi" w:hAnsiTheme="minorHAnsi" w:cstheme="minorHAnsi"/>
        </w:rPr>
        <w:t> and </w:t>
      </w:r>
      <w:hyperlink r:id="rId12" w:history="1">
        <w:r w:rsidRPr="0019665E">
          <w:rPr>
            <w:rStyle w:val="Hyperlink"/>
            <w:rFonts w:asciiTheme="minorHAnsi" w:hAnsiTheme="minorHAnsi" w:cstheme="minorHAnsi"/>
          </w:rPr>
          <w:t>data on patient characteristics (such as virus, type, demographic, and clinical information)</w:t>
        </w:r>
      </w:hyperlink>
      <w:r w:rsidRPr="0019665E">
        <w:rPr>
          <w:rFonts w:asciiTheme="minorHAnsi" w:hAnsiTheme="minorHAnsi" w:cstheme="minorHAnsi"/>
        </w:rPr>
        <w:t xml:space="preserve"> are available on </w:t>
      </w:r>
      <w:proofErr w:type="spellStart"/>
      <w:r w:rsidRPr="0019665E">
        <w:rPr>
          <w:rFonts w:asciiTheme="minorHAnsi" w:hAnsiTheme="minorHAnsi" w:cstheme="minorHAnsi"/>
        </w:rPr>
        <w:t>FluView</w:t>
      </w:r>
      <w:proofErr w:type="spellEnd"/>
      <w:r w:rsidRPr="0019665E">
        <w:rPr>
          <w:rFonts w:asciiTheme="minorHAnsi" w:hAnsiTheme="minorHAnsi" w:cstheme="minorHAnsi"/>
        </w:rPr>
        <w:t xml:space="preserve"> Interactive.</w:t>
      </w:r>
    </w:p>
    <w:p w14:paraId="4B0514A7" w14:textId="77777777" w:rsidR="00111BFB" w:rsidRPr="0019665E" w:rsidRDefault="00111BFB">
      <w:pPr>
        <w:rPr>
          <w:rFonts w:eastAsia="Times New Roman" w:cstheme="minorHAnsi"/>
        </w:rPr>
      </w:pPr>
    </w:p>
    <w:p w14:paraId="1CF61BBE" w14:textId="77777777" w:rsidR="00111BFB" w:rsidRPr="0019665E" w:rsidRDefault="00111BFB">
      <w:pPr>
        <w:rPr>
          <w:rFonts w:eastAsia="Times New Roman" w:cstheme="minorHAnsi"/>
        </w:rPr>
      </w:pPr>
    </w:p>
    <w:p w14:paraId="28931008" w14:textId="77777777" w:rsidR="00111BFB" w:rsidRPr="0019665E" w:rsidRDefault="00111BFB">
      <w:pPr>
        <w:rPr>
          <w:rFonts w:eastAsia="Times New Roman" w:cstheme="minorHAnsi"/>
        </w:rPr>
      </w:pPr>
    </w:p>
    <w:p w14:paraId="2CDACBBD" w14:textId="77777777" w:rsidR="00111BFB" w:rsidRPr="0019665E" w:rsidRDefault="00111BFB">
      <w:pPr>
        <w:rPr>
          <w:rFonts w:cstheme="minorHAnsi"/>
        </w:rPr>
      </w:pPr>
    </w:p>
    <w:p w14:paraId="60C6DA6A" w14:textId="77777777" w:rsidR="00111BFB" w:rsidRPr="0019665E" w:rsidRDefault="00111BFB">
      <w:pPr>
        <w:rPr>
          <w:rFonts w:cstheme="minorHAnsi"/>
        </w:rPr>
      </w:pPr>
    </w:p>
    <w:p w14:paraId="47B5FCA8" w14:textId="77777777" w:rsidR="00111BFB" w:rsidRPr="0019665E" w:rsidRDefault="00111BFB">
      <w:pPr>
        <w:rPr>
          <w:rFonts w:cstheme="minorHAnsi"/>
        </w:rPr>
      </w:pPr>
    </w:p>
    <w:p w14:paraId="2BAAA54E" w14:textId="77777777" w:rsidR="00DB4628" w:rsidRPr="0019665E" w:rsidRDefault="00DB4628">
      <w:pPr>
        <w:rPr>
          <w:rFonts w:cstheme="minorHAnsi"/>
        </w:rPr>
      </w:pPr>
    </w:p>
    <w:sectPr w:rsidR="00DB4628" w:rsidRPr="0019665E" w:rsidSect="005E11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B35C1" w14:textId="77777777" w:rsidR="00FC7E41" w:rsidRDefault="00FC7E41" w:rsidP="00613CD7">
      <w:r>
        <w:separator/>
      </w:r>
    </w:p>
  </w:endnote>
  <w:endnote w:type="continuationSeparator" w:id="0">
    <w:p w14:paraId="0B018E31" w14:textId="77777777" w:rsidR="00FC7E41" w:rsidRDefault="00FC7E41" w:rsidP="0061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23A80" w14:textId="77777777" w:rsidR="00FC7E41" w:rsidRDefault="00FC7E41" w:rsidP="00613CD7">
      <w:r>
        <w:separator/>
      </w:r>
    </w:p>
  </w:footnote>
  <w:footnote w:type="continuationSeparator" w:id="0">
    <w:p w14:paraId="6EB74E4F" w14:textId="77777777" w:rsidR="00FC7E41" w:rsidRDefault="00FC7E41" w:rsidP="00613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C0155"/>
    <w:multiLevelType w:val="multilevel"/>
    <w:tmpl w:val="A114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BB"/>
    <w:rsid w:val="00017DF8"/>
    <w:rsid w:val="00090F79"/>
    <w:rsid w:val="000952EC"/>
    <w:rsid w:val="000960ED"/>
    <w:rsid w:val="000E58E8"/>
    <w:rsid w:val="00100D35"/>
    <w:rsid w:val="0010708C"/>
    <w:rsid w:val="00111BFB"/>
    <w:rsid w:val="0017509D"/>
    <w:rsid w:val="0019665E"/>
    <w:rsid w:val="001C41BD"/>
    <w:rsid w:val="00260392"/>
    <w:rsid w:val="002C362A"/>
    <w:rsid w:val="002F5A34"/>
    <w:rsid w:val="00305402"/>
    <w:rsid w:val="003379D7"/>
    <w:rsid w:val="00352259"/>
    <w:rsid w:val="003A1DB5"/>
    <w:rsid w:val="00443CEC"/>
    <w:rsid w:val="00446B18"/>
    <w:rsid w:val="00451FA5"/>
    <w:rsid w:val="00462807"/>
    <w:rsid w:val="00486F08"/>
    <w:rsid w:val="004963B6"/>
    <w:rsid w:val="004C7B2E"/>
    <w:rsid w:val="00516478"/>
    <w:rsid w:val="00532345"/>
    <w:rsid w:val="005560CC"/>
    <w:rsid w:val="005660C4"/>
    <w:rsid w:val="005843F9"/>
    <w:rsid w:val="005B7C8F"/>
    <w:rsid w:val="005B7E08"/>
    <w:rsid w:val="005E115F"/>
    <w:rsid w:val="005F4A90"/>
    <w:rsid w:val="00601F6B"/>
    <w:rsid w:val="00607311"/>
    <w:rsid w:val="00613CD7"/>
    <w:rsid w:val="006B13B1"/>
    <w:rsid w:val="00714874"/>
    <w:rsid w:val="007619A0"/>
    <w:rsid w:val="00761ECA"/>
    <w:rsid w:val="00775029"/>
    <w:rsid w:val="007A0835"/>
    <w:rsid w:val="007D0657"/>
    <w:rsid w:val="008545E1"/>
    <w:rsid w:val="008559BC"/>
    <w:rsid w:val="00876272"/>
    <w:rsid w:val="008803C9"/>
    <w:rsid w:val="00894CBB"/>
    <w:rsid w:val="008A19DE"/>
    <w:rsid w:val="008A3BDC"/>
    <w:rsid w:val="008A639B"/>
    <w:rsid w:val="008A6672"/>
    <w:rsid w:val="008B2E37"/>
    <w:rsid w:val="008B67BA"/>
    <w:rsid w:val="008C186C"/>
    <w:rsid w:val="0090225E"/>
    <w:rsid w:val="00921A4D"/>
    <w:rsid w:val="00921B27"/>
    <w:rsid w:val="00924A85"/>
    <w:rsid w:val="00941B6A"/>
    <w:rsid w:val="00942560"/>
    <w:rsid w:val="00957859"/>
    <w:rsid w:val="009C7336"/>
    <w:rsid w:val="00A07D8D"/>
    <w:rsid w:val="00A170E7"/>
    <w:rsid w:val="00A2540C"/>
    <w:rsid w:val="00A3195C"/>
    <w:rsid w:val="00A37A00"/>
    <w:rsid w:val="00A40E6D"/>
    <w:rsid w:val="00A46834"/>
    <w:rsid w:val="00A675ED"/>
    <w:rsid w:val="00A874BD"/>
    <w:rsid w:val="00AC1EF8"/>
    <w:rsid w:val="00AF199E"/>
    <w:rsid w:val="00AF5DF2"/>
    <w:rsid w:val="00B02350"/>
    <w:rsid w:val="00B2192D"/>
    <w:rsid w:val="00B227A5"/>
    <w:rsid w:val="00B51364"/>
    <w:rsid w:val="00B5359A"/>
    <w:rsid w:val="00B821C3"/>
    <w:rsid w:val="00BA6436"/>
    <w:rsid w:val="00BF3EDB"/>
    <w:rsid w:val="00C069F9"/>
    <w:rsid w:val="00C36A5E"/>
    <w:rsid w:val="00C73D3E"/>
    <w:rsid w:val="00CB0970"/>
    <w:rsid w:val="00CD483F"/>
    <w:rsid w:val="00CF4AF8"/>
    <w:rsid w:val="00CF7088"/>
    <w:rsid w:val="00D0149A"/>
    <w:rsid w:val="00D10BC6"/>
    <w:rsid w:val="00D22F5E"/>
    <w:rsid w:val="00D467CB"/>
    <w:rsid w:val="00D76CFB"/>
    <w:rsid w:val="00D91785"/>
    <w:rsid w:val="00DA7512"/>
    <w:rsid w:val="00DB4628"/>
    <w:rsid w:val="00DD5B62"/>
    <w:rsid w:val="00DD7396"/>
    <w:rsid w:val="00DE5D63"/>
    <w:rsid w:val="00E11EE2"/>
    <w:rsid w:val="00E17863"/>
    <w:rsid w:val="00E52247"/>
    <w:rsid w:val="00E80ECB"/>
    <w:rsid w:val="00E85193"/>
    <w:rsid w:val="00E87AF6"/>
    <w:rsid w:val="00E962E5"/>
    <w:rsid w:val="00EA0BB5"/>
    <w:rsid w:val="00EB2CC0"/>
    <w:rsid w:val="00EC25AF"/>
    <w:rsid w:val="00ED0347"/>
    <w:rsid w:val="00F00521"/>
    <w:rsid w:val="00F15DCE"/>
    <w:rsid w:val="00F441E4"/>
    <w:rsid w:val="00F62C50"/>
    <w:rsid w:val="00F777AB"/>
    <w:rsid w:val="00F83788"/>
    <w:rsid w:val="00F91563"/>
    <w:rsid w:val="00FA1EBF"/>
    <w:rsid w:val="00FA77E6"/>
    <w:rsid w:val="00FC7E41"/>
    <w:rsid w:val="00FE3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9CE4AD"/>
  <w15:chartTrackingRefBased/>
  <w15:docId w15:val="{3C6DA5EF-72E9-D64F-91F6-F5C067F7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628"/>
    <w:rPr>
      <w:color w:val="0563C1" w:themeColor="hyperlink"/>
      <w:u w:val="single"/>
    </w:rPr>
  </w:style>
  <w:style w:type="character" w:styleId="UnresolvedMention">
    <w:name w:val="Unresolved Mention"/>
    <w:basedOn w:val="DefaultParagraphFont"/>
    <w:uiPriority w:val="99"/>
    <w:semiHidden/>
    <w:unhideWhenUsed/>
    <w:rsid w:val="00DB4628"/>
    <w:rPr>
      <w:color w:val="605E5C"/>
      <w:shd w:val="clear" w:color="auto" w:fill="E1DFDD"/>
    </w:rPr>
  </w:style>
  <w:style w:type="character" w:styleId="FollowedHyperlink">
    <w:name w:val="FollowedHyperlink"/>
    <w:basedOn w:val="DefaultParagraphFont"/>
    <w:uiPriority w:val="99"/>
    <w:semiHidden/>
    <w:unhideWhenUsed/>
    <w:rsid w:val="00DB4628"/>
    <w:rPr>
      <w:color w:val="954F72" w:themeColor="followedHyperlink"/>
      <w:u w:val="single"/>
    </w:rPr>
  </w:style>
  <w:style w:type="paragraph" w:styleId="NormalWeb">
    <w:name w:val="Normal (Web)"/>
    <w:basedOn w:val="Normal"/>
    <w:uiPriority w:val="99"/>
    <w:semiHidden/>
    <w:unhideWhenUsed/>
    <w:rsid w:val="00111BF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13CD7"/>
    <w:pPr>
      <w:tabs>
        <w:tab w:val="center" w:pos="4680"/>
        <w:tab w:val="right" w:pos="9360"/>
      </w:tabs>
    </w:pPr>
  </w:style>
  <w:style w:type="character" w:customStyle="1" w:styleId="HeaderChar">
    <w:name w:val="Header Char"/>
    <w:basedOn w:val="DefaultParagraphFont"/>
    <w:link w:val="Header"/>
    <w:uiPriority w:val="99"/>
    <w:rsid w:val="00613CD7"/>
  </w:style>
  <w:style w:type="paragraph" w:styleId="Footer">
    <w:name w:val="footer"/>
    <w:basedOn w:val="Normal"/>
    <w:link w:val="FooterChar"/>
    <w:uiPriority w:val="99"/>
    <w:unhideWhenUsed/>
    <w:rsid w:val="00613CD7"/>
    <w:pPr>
      <w:tabs>
        <w:tab w:val="center" w:pos="4680"/>
        <w:tab w:val="right" w:pos="9360"/>
      </w:tabs>
    </w:pPr>
  </w:style>
  <w:style w:type="character" w:customStyle="1" w:styleId="FooterChar">
    <w:name w:val="Footer Char"/>
    <w:basedOn w:val="DefaultParagraphFont"/>
    <w:link w:val="Footer"/>
    <w:uiPriority w:val="99"/>
    <w:rsid w:val="00613CD7"/>
  </w:style>
  <w:style w:type="table" w:styleId="TableGrid">
    <w:name w:val="Table Grid"/>
    <w:basedOn w:val="TableNormal"/>
    <w:uiPriority w:val="39"/>
    <w:rsid w:val="00DD5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73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cdc.gov/GRASP/Fluview/FluHospRat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s.cdc.gov/grasp/fluview/FluHospCha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cdc.gov/GRASP/Fluview/FluHospRates.html" TargetMode="External"/><Relationship Id="rId5" Type="http://schemas.openxmlformats.org/officeDocument/2006/relationships/footnotes" Target="footnotes.xml"/><Relationship Id="rId10" Type="http://schemas.openxmlformats.org/officeDocument/2006/relationships/hyperlink" Target="http://www.cdc.gov/flu/weekly/overview.htm" TargetMode="External"/><Relationship Id="rId4" Type="http://schemas.openxmlformats.org/officeDocument/2006/relationships/webSettings" Target="webSettings.xml"/><Relationship Id="rId9" Type="http://schemas.openxmlformats.org/officeDocument/2006/relationships/hyperlink" Target="http://www.cdc.gov/flu/weekly/overview.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Huan</dc:creator>
  <cp:keywords/>
  <dc:description/>
  <cp:lastModifiedBy>Wang, Huan</cp:lastModifiedBy>
  <cp:revision>9</cp:revision>
  <dcterms:created xsi:type="dcterms:W3CDTF">2020-01-09T17:01:00Z</dcterms:created>
  <dcterms:modified xsi:type="dcterms:W3CDTF">2020-01-13T18:16:00Z</dcterms:modified>
</cp:coreProperties>
</file>