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OnPoint — Website Architecture ↔ Systems Book Sync Map (v2026-02-17r3)</w:t>
      </w:r>
    </w:p>
    <w:p>
      <w:pPr>
        <w:spacing w:after="160"/>
      </w:pPr>
      <w:r>
        <w:t>Purpose: Keep the website, Notion, and Systems Book synchronized as one system with a single source of truth, stable IDs, and registry-driven version locks.</w:t>
      </w:r>
    </w:p>
    <w:p>
      <w:pPr>
        <w:pStyle w:val="Heading2"/>
      </w:pPr>
      <w:r>
        <w:t>1) Canonical Coding Standard</w:t>
      </w:r>
    </w:p>
    <w:p>
      <w:r>
        <w:t>IDs never change once issued. Always place the SB/WP code as the first token in headings/titles.</w:t>
      </w:r>
    </w:p>
    <w:p>
      <w:pPr>
        <w:pStyle w:val="ListBullet"/>
      </w:pPr>
      <w:r>
        <w:t>Systems Book: SB-##</w:t>
      </w:r>
    </w:p>
    <w:p>
      <w:pPr>
        <w:pStyle w:val="ListBullet"/>
      </w:pPr>
      <w:r>
        <w:t>Appendix modules: APPX-[A-Z]</w:t>
      </w:r>
    </w:p>
    <w:p>
      <w:pPr>
        <w:pStyle w:val="ListBullet"/>
      </w:pPr>
      <w:r>
        <w:t>Website pages: WP-## (internal), WP-PUB-## (public), WP-DR-## (data room/CIM)</w:t>
      </w:r>
    </w:p>
    <w:p>
      <w:pPr>
        <w:pStyle w:val="ListBullet"/>
      </w:pPr>
      <w:r>
        <w:t>Optional copy blocks: CB-###</w:t>
      </w:r>
    </w:p>
    <w:p>
      <w:pPr>
        <w:pStyle w:val="ListBullet"/>
      </w:pPr>
      <w:r>
        <w:t>Assets: ASSET-[TYPE]-###</w:t>
      </w:r>
    </w:p>
    <w:p>
      <w:pPr>
        <w:pStyle w:val="Heading2"/>
      </w:pPr>
      <w:r>
        <w:t>2) Source-of-Truth Rules</w:t>
      </w:r>
    </w:p>
    <w:p>
      <w:pPr>
        <w:pStyle w:val="ListBullet"/>
      </w:pPr>
      <w:r>
        <w:t>Systems Book (Master DOCX) is canonical for operating procedures.</w:t>
      </w:r>
    </w:p>
    <w:p>
      <w:pPr>
        <w:pStyle w:val="ListBullet"/>
      </w:pPr>
      <w:r>
        <w:t>Notion is canonical for operational status and current decisions.</w:t>
      </w:r>
    </w:p>
    <w:p>
      <w:pPr>
        <w:pStyle w:val="ListBullet"/>
      </w:pPr>
      <w:r>
        <w:t>Website is canonical for what is publicly published.</w:t>
      </w:r>
    </w:p>
    <w:p>
      <w:pPr>
        <w:pStyle w:val="ListBullet"/>
      </w:pPr>
      <w:r>
        <w:t>Data Room/CIM pages publish registry-locked M&amp;A assets.</w:t>
      </w:r>
    </w:p>
    <w:p>
      <w:pPr>
        <w:pStyle w:val="Heading2"/>
      </w:pPr>
      <w:r>
        <w:t>3) Mapping Table (snapshot)</w:t>
      </w:r>
    </w:p>
    <w:p>
      <w:r>
        <w:t>Use the CSV for the complete mapping; table below is a readable snapshot.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Type</w:t>
            </w:r>
          </w:p>
        </w:tc>
        <w:tc>
          <w:tcPr>
            <w:tcW w:type="dxa" w:w="864"/>
          </w:tcPr>
          <w:p>
            <w:r>
              <w:t>SB_Code</w:t>
            </w:r>
          </w:p>
        </w:tc>
        <w:tc>
          <w:tcPr>
            <w:tcW w:type="dxa" w:w="864"/>
          </w:tcPr>
          <w:p>
            <w:r>
              <w:t>SB_Title</w:t>
            </w:r>
          </w:p>
        </w:tc>
        <w:tc>
          <w:tcPr>
            <w:tcW w:type="dxa" w:w="864"/>
          </w:tcPr>
          <w:p>
            <w:r>
              <w:t>Website_Page_ID</w:t>
            </w:r>
          </w:p>
        </w:tc>
        <w:tc>
          <w:tcPr>
            <w:tcW w:type="dxa" w:w="864"/>
          </w:tcPr>
          <w:p>
            <w:r>
              <w:t>Website_Suggested_Title</w:t>
            </w:r>
          </w:p>
        </w:tc>
        <w:tc>
          <w:tcPr>
            <w:tcW w:type="dxa" w:w="864"/>
          </w:tcPr>
          <w:p>
            <w:r>
              <w:t>Website_Suggested_Slug</w:t>
            </w:r>
          </w:p>
        </w:tc>
        <w:tc>
          <w:tcPr>
            <w:tcW w:type="dxa" w:w="864"/>
          </w:tcPr>
          <w:p>
            <w:r>
              <w:t>Canonical_Source</w:t>
            </w:r>
          </w:p>
        </w:tc>
        <w:tc>
          <w:tcPr>
            <w:tcW w:type="dxa" w:w="864"/>
          </w:tcPr>
          <w:p>
            <w:r>
              <w:t>Sync_Rule</w:t>
            </w:r>
          </w:p>
        </w:tc>
        <w:tc>
          <w:tcPr>
            <w:tcW w:type="dxa" w:w="864"/>
          </w:tcPr>
          <w:p>
            <w:r>
              <w:t>Owner_Role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SB-INTRO-01</w:t>
            </w:r>
          </w:p>
        </w:tc>
        <w:tc>
          <w:tcPr>
            <w:tcW w:type="dxa" w:w="864"/>
          </w:tcPr>
          <w:p>
            <w:r>
              <w:t>OnPoint Authority Systems — Systems Book (Master)</w:t>
            </w:r>
          </w:p>
        </w:tc>
        <w:tc>
          <w:tcPr>
            <w:tcW w:type="dxa" w:w="864"/>
          </w:tcPr>
          <w:p>
            <w:r>
              <w:t>WP-INTRO-01</w:t>
            </w:r>
          </w:p>
        </w:tc>
        <w:tc>
          <w:tcPr>
            <w:tcW w:type="dxa" w:w="864"/>
          </w:tcPr>
          <w:p>
            <w:r>
              <w:t>OnPoint Authority Systems — Systems Book (Master)</w:t>
            </w:r>
          </w:p>
        </w:tc>
        <w:tc>
          <w:tcPr>
            <w:tcW w:type="dxa" w:w="864"/>
          </w:tcPr>
          <w:p>
            <w:r>
              <w:t>/systems-book/sb-intro-01-onpoint-authority-systems-systems-book-master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SB-INTRO-02</w:t>
            </w:r>
          </w:p>
        </w:tc>
        <w:tc>
          <w:tcPr>
            <w:tcW w:type="dxa" w:w="864"/>
          </w:tcPr>
          <w:p>
            <w:r>
              <w:t>How to Use This Book</w:t>
            </w:r>
          </w:p>
        </w:tc>
        <w:tc>
          <w:tcPr>
            <w:tcW w:type="dxa" w:w="864"/>
          </w:tcPr>
          <w:p>
            <w:r>
              <w:t>WP-INTRO-02</w:t>
            </w:r>
          </w:p>
        </w:tc>
        <w:tc>
          <w:tcPr>
            <w:tcW w:type="dxa" w:w="864"/>
          </w:tcPr>
          <w:p>
            <w:r>
              <w:t>How to Use This Book</w:t>
            </w:r>
          </w:p>
        </w:tc>
        <w:tc>
          <w:tcPr>
            <w:tcW w:type="dxa" w:w="864"/>
          </w:tcPr>
          <w:p>
            <w:r>
              <w:t>/systems-book/sb-intro-02-how-to-use-this-book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SB-INTRO-03</w:t>
            </w:r>
          </w:p>
        </w:tc>
        <w:tc>
          <w:tcPr>
            <w:tcW w:type="dxa" w:w="864"/>
          </w:tcPr>
          <w:p>
            <w:r>
              <w:t>Canonical Coding Standard (Used Everywhere)</w:t>
            </w:r>
          </w:p>
        </w:tc>
        <w:tc>
          <w:tcPr>
            <w:tcW w:type="dxa" w:w="864"/>
          </w:tcPr>
          <w:p>
            <w:r>
              <w:t>WP-INTRO-03</w:t>
            </w:r>
          </w:p>
        </w:tc>
        <w:tc>
          <w:tcPr>
            <w:tcW w:type="dxa" w:w="864"/>
          </w:tcPr>
          <w:p>
            <w:r>
              <w:t>Canonical Coding Standard (Used Everywhere)</w:t>
            </w:r>
          </w:p>
        </w:tc>
        <w:tc>
          <w:tcPr>
            <w:tcW w:type="dxa" w:w="864"/>
          </w:tcPr>
          <w:p>
            <w:r>
              <w:t>/systems-book/sb-intro-03-canonical-coding-standard-used-everywhere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SB-INTRO-04</w:t>
            </w:r>
          </w:p>
        </w:tc>
        <w:tc>
          <w:tcPr>
            <w:tcW w:type="dxa" w:w="864"/>
          </w:tcPr>
          <w:p>
            <w:r>
              <w:t>Table of Contents</w:t>
            </w:r>
          </w:p>
        </w:tc>
        <w:tc>
          <w:tcPr>
            <w:tcW w:type="dxa" w:w="864"/>
          </w:tcPr>
          <w:p>
            <w:r>
              <w:t>WP-INTRO-04</w:t>
            </w:r>
          </w:p>
        </w:tc>
        <w:tc>
          <w:tcPr>
            <w:tcW w:type="dxa" w:w="864"/>
          </w:tcPr>
          <w:p>
            <w:r>
              <w:t>Table of Contents</w:t>
            </w:r>
          </w:p>
        </w:tc>
        <w:tc>
          <w:tcPr>
            <w:tcW w:type="dxa" w:w="864"/>
          </w:tcPr>
          <w:p>
            <w:r>
              <w:t>/systems-book/sb-intro-04-table-of-contents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SB-00</w:t>
            </w:r>
          </w:p>
        </w:tc>
        <w:tc>
          <w:tcPr>
            <w:tcW w:type="dxa" w:w="864"/>
          </w:tcPr>
          <w:p>
            <w:r>
              <w:t>Master Control &amp; Registry System</w:t>
            </w:r>
          </w:p>
        </w:tc>
        <w:tc>
          <w:tcPr>
            <w:tcW w:type="dxa" w:w="864"/>
          </w:tcPr>
          <w:p>
            <w:r>
              <w:t>WP-00</w:t>
            </w:r>
          </w:p>
        </w:tc>
        <w:tc>
          <w:tcPr>
            <w:tcW w:type="dxa" w:w="864"/>
          </w:tcPr>
          <w:p>
            <w:r>
              <w:t>Master Control &amp; Registry System</w:t>
            </w:r>
          </w:p>
        </w:tc>
        <w:tc>
          <w:tcPr>
            <w:tcW w:type="dxa" w:w="864"/>
          </w:tcPr>
          <w:p>
            <w:r>
              <w:t>/governance/master-control/sb-00-master-control-registry-system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SB-00-01</w:t>
            </w:r>
          </w:p>
        </w:tc>
        <w:tc>
          <w:tcPr>
            <w:tcW w:type="dxa" w:w="864"/>
          </w:tcPr>
          <w:p>
            <w:r>
              <w:t>Purpose &amp; Non-Negotiables</w:t>
            </w:r>
          </w:p>
        </w:tc>
        <w:tc>
          <w:tcPr>
            <w:tcW w:type="dxa" w:w="864"/>
          </w:tcPr>
          <w:p>
            <w:r>
              <w:t>WP-00-01</w:t>
            </w:r>
          </w:p>
        </w:tc>
        <w:tc>
          <w:tcPr>
            <w:tcW w:type="dxa" w:w="864"/>
          </w:tcPr>
          <w:p>
            <w:r>
              <w:t>Purpose &amp; Non-Negotiables</w:t>
            </w:r>
          </w:p>
        </w:tc>
        <w:tc>
          <w:tcPr>
            <w:tcW w:type="dxa" w:w="864"/>
          </w:tcPr>
          <w:p>
            <w:r>
              <w:t>/governance/master-control/sb-00-01-purpose-non-negotiables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SB-00-02</w:t>
            </w:r>
          </w:p>
        </w:tc>
        <w:tc>
          <w:tcPr>
            <w:tcW w:type="dxa" w:w="864"/>
          </w:tcPr>
          <w:p>
            <w:r>
              <w:t>Canonical File Naming Standard</w:t>
            </w:r>
          </w:p>
        </w:tc>
        <w:tc>
          <w:tcPr>
            <w:tcW w:type="dxa" w:w="864"/>
          </w:tcPr>
          <w:p>
            <w:r>
              <w:t>WP-00-02</w:t>
            </w:r>
          </w:p>
        </w:tc>
        <w:tc>
          <w:tcPr>
            <w:tcW w:type="dxa" w:w="864"/>
          </w:tcPr>
          <w:p>
            <w:r>
              <w:t>Canonical File Naming Standard</w:t>
            </w:r>
          </w:p>
        </w:tc>
        <w:tc>
          <w:tcPr>
            <w:tcW w:type="dxa" w:w="864"/>
          </w:tcPr>
          <w:p>
            <w:r>
              <w:t>/governance/master-control/sb-00-02-canonical-file-naming-standard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SB-00-03</w:t>
            </w:r>
          </w:p>
        </w:tc>
        <w:tc>
          <w:tcPr>
            <w:tcW w:type="dxa" w:w="864"/>
          </w:tcPr>
          <w:p>
            <w:r>
              <w:t>Registry Fields</w:t>
            </w:r>
          </w:p>
        </w:tc>
        <w:tc>
          <w:tcPr>
            <w:tcW w:type="dxa" w:w="864"/>
          </w:tcPr>
          <w:p>
            <w:r>
              <w:t>WP-00-03</w:t>
            </w:r>
          </w:p>
        </w:tc>
        <w:tc>
          <w:tcPr>
            <w:tcW w:type="dxa" w:w="864"/>
          </w:tcPr>
          <w:p>
            <w:r>
              <w:t>Registry Fields</w:t>
            </w:r>
          </w:p>
        </w:tc>
        <w:tc>
          <w:tcPr>
            <w:tcW w:type="dxa" w:w="864"/>
          </w:tcPr>
          <w:p>
            <w:r>
              <w:t>/governance/master-control/sb-00-03-registry-fields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SB-01</w:t>
            </w:r>
          </w:p>
        </w:tc>
        <w:tc>
          <w:tcPr>
            <w:tcW w:type="dxa" w:w="864"/>
          </w:tcPr>
          <w:p>
            <w:r>
              <w:t>Authority OS Overview &amp; Architecture</w:t>
            </w:r>
          </w:p>
        </w:tc>
        <w:tc>
          <w:tcPr>
            <w:tcW w:type="dxa" w:w="864"/>
          </w:tcPr>
          <w:p>
            <w:r>
              <w:t>WP-01</w:t>
            </w:r>
          </w:p>
        </w:tc>
        <w:tc>
          <w:tcPr>
            <w:tcW w:type="dxa" w:w="864"/>
          </w:tcPr>
          <w:p>
            <w:r>
              <w:t>Authority OS Overview &amp; Architecture</w:t>
            </w:r>
          </w:p>
        </w:tc>
        <w:tc>
          <w:tcPr>
            <w:tcW w:type="dxa" w:w="864"/>
          </w:tcPr>
          <w:p>
            <w:r>
              <w:t>/authority-os/sb-01-authority-os-overview-architecture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(Book→Website)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SB-01-01</w:t>
            </w:r>
          </w:p>
        </w:tc>
        <w:tc>
          <w:tcPr>
            <w:tcW w:type="dxa" w:w="864"/>
          </w:tcPr>
          <w:p>
            <w:r>
              <w:t>Authority OS Definition</w:t>
            </w:r>
          </w:p>
        </w:tc>
        <w:tc>
          <w:tcPr>
            <w:tcW w:type="dxa" w:w="864"/>
          </w:tcPr>
          <w:p>
            <w:r>
              <w:t>WP-01-01</w:t>
            </w:r>
          </w:p>
        </w:tc>
        <w:tc>
          <w:tcPr>
            <w:tcW w:type="dxa" w:w="864"/>
          </w:tcPr>
          <w:p>
            <w:r>
              <w:t>Authority OS Definition</w:t>
            </w:r>
          </w:p>
        </w:tc>
        <w:tc>
          <w:tcPr>
            <w:tcW w:type="dxa" w:w="864"/>
          </w:tcPr>
          <w:p>
            <w:r>
              <w:t>/authority-os/sb-01-01-authority-os-definition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(Book→Website)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SB-01-02</w:t>
            </w:r>
          </w:p>
        </w:tc>
        <w:tc>
          <w:tcPr>
            <w:tcW w:type="dxa" w:w="864"/>
          </w:tcPr>
          <w:p>
            <w:r>
              <w:t>Layer Model</w:t>
            </w:r>
          </w:p>
        </w:tc>
        <w:tc>
          <w:tcPr>
            <w:tcW w:type="dxa" w:w="864"/>
          </w:tcPr>
          <w:p>
            <w:r>
              <w:t>WP-01-02</w:t>
            </w:r>
          </w:p>
        </w:tc>
        <w:tc>
          <w:tcPr>
            <w:tcW w:type="dxa" w:w="864"/>
          </w:tcPr>
          <w:p>
            <w:r>
              <w:t>Layer Model</w:t>
            </w:r>
          </w:p>
        </w:tc>
        <w:tc>
          <w:tcPr>
            <w:tcW w:type="dxa" w:w="864"/>
          </w:tcPr>
          <w:p>
            <w:r>
              <w:t>/authority-os/sb-01-02-layer-model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(Book→Website)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SB-02</w:t>
            </w:r>
          </w:p>
        </w:tc>
        <w:tc>
          <w:tcPr>
            <w:tcW w:type="dxa" w:w="864"/>
          </w:tcPr>
          <w:p>
            <w:r>
              <w:t>Data Room, File System, and Access Control</w:t>
            </w:r>
          </w:p>
        </w:tc>
        <w:tc>
          <w:tcPr>
            <w:tcW w:type="dxa" w:w="864"/>
          </w:tcPr>
          <w:p>
            <w:r>
              <w:t>WP-02</w:t>
            </w:r>
          </w:p>
        </w:tc>
        <w:tc>
          <w:tcPr>
            <w:tcW w:type="dxa" w:w="864"/>
          </w:tcPr>
          <w:p>
            <w:r>
              <w:t>Data Room, File System, and Access Control</w:t>
            </w:r>
          </w:p>
        </w:tc>
        <w:tc>
          <w:tcPr>
            <w:tcW w:type="dxa" w:w="864"/>
          </w:tcPr>
          <w:p>
            <w:r>
              <w:t>/investor/deal-room/sb-02-data-room-file-system-and-access-control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SB-02-01</w:t>
            </w:r>
          </w:p>
        </w:tc>
        <w:tc>
          <w:tcPr>
            <w:tcW w:type="dxa" w:w="864"/>
          </w:tcPr>
          <w:p>
            <w:r>
              <w:t>Folder Taxonomy (Canonical)</w:t>
            </w:r>
          </w:p>
        </w:tc>
        <w:tc>
          <w:tcPr>
            <w:tcW w:type="dxa" w:w="864"/>
          </w:tcPr>
          <w:p>
            <w:r>
              <w:t>WP-02-01</w:t>
            </w:r>
          </w:p>
        </w:tc>
        <w:tc>
          <w:tcPr>
            <w:tcW w:type="dxa" w:w="864"/>
          </w:tcPr>
          <w:p>
            <w:r>
              <w:t>Folder Taxonomy (Canonical)</w:t>
            </w:r>
          </w:p>
        </w:tc>
        <w:tc>
          <w:tcPr>
            <w:tcW w:type="dxa" w:w="864"/>
          </w:tcPr>
          <w:p>
            <w:r>
              <w:t>/investor/deal-room/sb-02-01-folder-taxonomy-canonical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SB-02-02</w:t>
            </w:r>
          </w:p>
        </w:tc>
        <w:tc>
          <w:tcPr>
            <w:tcW w:type="dxa" w:w="864"/>
          </w:tcPr>
          <w:p>
            <w:r>
              <w:t>Access Control Standard</w:t>
            </w:r>
          </w:p>
        </w:tc>
        <w:tc>
          <w:tcPr>
            <w:tcW w:type="dxa" w:w="864"/>
          </w:tcPr>
          <w:p>
            <w:r>
              <w:t>WP-02-02</w:t>
            </w:r>
          </w:p>
        </w:tc>
        <w:tc>
          <w:tcPr>
            <w:tcW w:type="dxa" w:w="864"/>
          </w:tcPr>
          <w:p>
            <w:r>
              <w:t>Access Control Standard</w:t>
            </w:r>
          </w:p>
        </w:tc>
        <w:tc>
          <w:tcPr>
            <w:tcW w:type="dxa" w:w="864"/>
          </w:tcPr>
          <w:p>
            <w:r>
              <w:t>/investor/deal-room/sb-02-02-access-control-standard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SB-03</w:t>
            </w:r>
          </w:p>
        </w:tc>
        <w:tc>
          <w:tcPr>
            <w:tcW w:type="dxa" w:w="864"/>
          </w:tcPr>
          <w:p>
            <w:r>
              <w:t>CIM Program: Teaser → NDA → CIM → Buyer Deck → Appendix Pack</w:t>
            </w:r>
          </w:p>
        </w:tc>
        <w:tc>
          <w:tcPr>
            <w:tcW w:type="dxa" w:w="864"/>
          </w:tcPr>
          <w:p>
            <w:r>
              <w:t>WP-03</w:t>
            </w:r>
          </w:p>
        </w:tc>
        <w:tc>
          <w:tcPr>
            <w:tcW w:type="dxa" w:w="864"/>
          </w:tcPr>
          <w:p>
            <w:r>
              <w:t>CIM Program: Teaser → NDA → CIM → Buyer Deck → Appendix Pack</w:t>
            </w:r>
          </w:p>
        </w:tc>
        <w:tc>
          <w:tcPr>
            <w:tcW w:type="dxa" w:w="864"/>
          </w:tcPr>
          <w:p>
            <w:r>
              <w:t>/investor/cim/sb-03-cim-program-teaser-nda-cim-buyer-deck-appendix-pack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SB-03-01</w:t>
            </w:r>
          </w:p>
        </w:tc>
        <w:tc>
          <w:tcPr>
            <w:tcW w:type="dxa" w:w="864"/>
          </w:tcPr>
          <w:p>
            <w:r>
              <w:t>Canonical Deliverable Chain</w:t>
            </w:r>
          </w:p>
        </w:tc>
        <w:tc>
          <w:tcPr>
            <w:tcW w:type="dxa" w:w="864"/>
          </w:tcPr>
          <w:p>
            <w:r>
              <w:t>WP-03-01</w:t>
            </w:r>
          </w:p>
        </w:tc>
        <w:tc>
          <w:tcPr>
            <w:tcW w:type="dxa" w:w="864"/>
          </w:tcPr>
          <w:p>
            <w:r>
              <w:t>Canonical Deliverable Chain</w:t>
            </w:r>
          </w:p>
        </w:tc>
        <w:tc>
          <w:tcPr>
            <w:tcW w:type="dxa" w:w="864"/>
          </w:tcPr>
          <w:p>
            <w:r>
              <w:t>/investor/cim/sb-03-01-canonical-deliverable-chain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SB-03-02</w:t>
            </w:r>
          </w:p>
        </w:tc>
        <w:tc>
          <w:tcPr>
            <w:tcW w:type="dxa" w:w="864"/>
          </w:tcPr>
          <w:p>
            <w:r>
              <w:t>Lock Rules</w:t>
            </w:r>
          </w:p>
        </w:tc>
        <w:tc>
          <w:tcPr>
            <w:tcW w:type="dxa" w:w="864"/>
          </w:tcPr>
          <w:p>
            <w:r>
              <w:t>WP-03-02</w:t>
            </w:r>
          </w:p>
        </w:tc>
        <w:tc>
          <w:tcPr>
            <w:tcW w:type="dxa" w:w="864"/>
          </w:tcPr>
          <w:p>
            <w:r>
              <w:t>Lock Rules</w:t>
            </w:r>
          </w:p>
        </w:tc>
        <w:tc>
          <w:tcPr>
            <w:tcW w:type="dxa" w:w="864"/>
          </w:tcPr>
          <w:p>
            <w:r>
              <w:t>/investor/cim/sb-03-02-lock-rules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SB-03-03</w:t>
            </w:r>
          </w:p>
        </w:tc>
        <w:tc>
          <w:tcPr>
            <w:tcW w:type="dxa" w:w="864"/>
          </w:tcPr>
          <w:p>
            <w:r>
              <w:t>Master vs. External Formats</w:t>
            </w:r>
          </w:p>
        </w:tc>
        <w:tc>
          <w:tcPr>
            <w:tcW w:type="dxa" w:w="864"/>
          </w:tcPr>
          <w:p>
            <w:r>
              <w:t>WP-03-03</w:t>
            </w:r>
          </w:p>
        </w:tc>
        <w:tc>
          <w:tcPr>
            <w:tcW w:type="dxa" w:w="864"/>
          </w:tcPr>
          <w:p>
            <w:r>
              <w:t>Master vs. External Formats</w:t>
            </w:r>
          </w:p>
        </w:tc>
        <w:tc>
          <w:tcPr>
            <w:tcW w:type="dxa" w:w="864"/>
          </w:tcPr>
          <w:p>
            <w:r>
              <w:t>/investor/cim/sb-03-03-master-vs-external-formats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1-way (Book→Notion)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</w:t>
            </w:r>
          </w:p>
        </w:tc>
        <w:tc>
          <w:tcPr>
            <w:tcW w:type="dxa" w:w="864"/>
          </w:tcPr>
          <w:p>
            <w:r>
              <w:t>Investor Readiness + Website Architecture Spec (Deal Room Digital Layer)</w:t>
            </w:r>
          </w:p>
        </w:tc>
        <w:tc>
          <w:tcPr>
            <w:tcW w:type="dxa" w:w="864"/>
          </w:tcPr>
          <w:p>
            <w:r>
              <w:t>WP-04</w:t>
            </w:r>
          </w:p>
        </w:tc>
        <w:tc>
          <w:tcPr>
            <w:tcW w:type="dxa" w:w="864"/>
          </w:tcPr>
          <w:p>
            <w:r>
              <w:t>Investor Readiness + Website Architecture Spec (Deal Room Digital Layer)</w:t>
            </w:r>
          </w:p>
        </w:tc>
        <w:tc>
          <w:tcPr>
            <w:tcW w:type="dxa" w:w="864"/>
          </w:tcPr>
          <w:p>
            <w:r>
              <w:t>/website-architecture/sb-04-investor-readiness-website-architecture-spec-deal-room-digital-layer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SB-04-01</w:t>
            </w:r>
          </w:p>
        </w:tc>
        <w:tc>
          <w:tcPr>
            <w:tcW w:type="dxa" w:w="864"/>
          </w:tcPr>
          <w:p>
            <w:r>
              <w:t>Investor Readiness: Core Proof Pack</w:t>
            </w:r>
          </w:p>
        </w:tc>
        <w:tc>
          <w:tcPr>
            <w:tcW w:type="dxa" w:w="864"/>
          </w:tcPr>
          <w:p>
            <w:r>
              <w:t>WP-04-01</w:t>
            </w:r>
          </w:p>
        </w:tc>
        <w:tc>
          <w:tcPr>
            <w:tcW w:type="dxa" w:w="864"/>
          </w:tcPr>
          <w:p>
            <w:r>
              <w:t>Investor Readiness: Core Proof Pack</w:t>
            </w:r>
          </w:p>
        </w:tc>
        <w:tc>
          <w:tcPr>
            <w:tcW w:type="dxa" w:w="864"/>
          </w:tcPr>
          <w:p>
            <w:r>
              <w:t>/website-architecture/sb-04-01-investor-readiness-core-proof-pack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</w:t>
            </w:r>
          </w:p>
        </w:tc>
        <w:tc>
          <w:tcPr>
            <w:tcW w:type="dxa" w:w="864"/>
          </w:tcPr>
          <w:p>
            <w:r>
              <w:t>Website Architecture Spec (Canonical)</w:t>
            </w:r>
          </w:p>
        </w:tc>
        <w:tc>
          <w:tcPr>
            <w:tcW w:type="dxa" w:w="864"/>
          </w:tcPr>
          <w:p>
            <w:r>
              <w:t>WP-04-02</w:t>
            </w:r>
          </w:p>
        </w:tc>
        <w:tc>
          <w:tcPr>
            <w:tcW w:type="dxa" w:w="864"/>
          </w:tcPr>
          <w:p>
            <w:r>
              <w:t>Website Architecture Spec (Canonical)</w:t>
            </w:r>
          </w:p>
        </w:tc>
        <w:tc>
          <w:tcPr>
            <w:tcW w:type="dxa" w:w="864"/>
          </w:tcPr>
          <w:p>
            <w:r>
              <w:t>/website-architecture/sb-04-02-website-architecture-spec-canonical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SB-04-02-01</w:t>
            </w:r>
          </w:p>
        </w:tc>
        <w:tc>
          <w:tcPr>
            <w:tcW w:type="dxa" w:w="864"/>
          </w:tcPr>
          <w:p>
            <w:r>
              <w:t>Information Architecture &amp; Sitemap</w:t>
            </w:r>
          </w:p>
        </w:tc>
        <w:tc>
          <w:tcPr>
            <w:tcW w:type="dxa" w:w="864"/>
          </w:tcPr>
          <w:p>
            <w:r>
              <w:t>WP-04-02-01</w:t>
            </w:r>
          </w:p>
        </w:tc>
        <w:tc>
          <w:tcPr>
            <w:tcW w:type="dxa" w:w="864"/>
          </w:tcPr>
          <w:p>
            <w:r>
              <w:t>Information Architecture &amp; Sitemap</w:t>
            </w:r>
          </w:p>
        </w:tc>
        <w:tc>
          <w:tcPr>
            <w:tcW w:type="dxa" w:w="864"/>
          </w:tcPr>
          <w:p>
            <w:r>
              <w:t>/website-architecture/sb-04-02-01-information-architecture-sitemap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SB-04-02-02</w:t>
            </w:r>
          </w:p>
        </w:tc>
        <w:tc>
          <w:tcPr>
            <w:tcW w:type="dxa" w:w="864"/>
          </w:tcPr>
          <w:p>
            <w:r>
              <w:t>Page Templates &amp; Component Rules</w:t>
            </w:r>
          </w:p>
        </w:tc>
        <w:tc>
          <w:tcPr>
            <w:tcW w:type="dxa" w:w="864"/>
          </w:tcPr>
          <w:p>
            <w:r>
              <w:t>WP-04-02-02</w:t>
            </w:r>
          </w:p>
        </w:tc>
        <w:tc>
          <w:tcPr>
            <w:tcW w:type="dxa" w:w="864"/>
          </w:tcPr>
          <w:p>
            <w:r>
              <w:t>Page Templates &amp; Component Rules</w:t>
            </w:r>
          </w:p>
        </w:tc>
        <w:tc>
          <w:tcPr>
            <w:tcW w:type="dxa" w:w="864"/>
          </w:tcPr>
          <w:p>
            <w:r>
              <w:t>/website-architecture/sb-04-02-02-page-templates-component-rules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SB-04-02-03</w:t>
            </w:r>
          </w:p>
        </w:tc>
        <w:tc>
          <w:tcPr>
            <w:tcW w:type="dxa" w:w="864"/>
          </w:tcPr>
          <w:p>
            <w:r>
              <w:t>Content Types, Metadata &amp; CMS Fields</w:t>
            </w:r>
          </w:p>
        </w:tc>
        <w:tc>
          <w:tcPr>
            <w:tcW w:type="dxa" w:w="864"/>
          </w:tcPr>
          <w:p>
            <w:r>
              <w:t>WP-04-02-03</w:t>
            </w:r>
          </w:p>
        </w:tc>
        <w:tc>
          <w:tcPr>
            <w:tcW w:type="dxa" w:w="864"/>
          </w:tcPr>
          <w:p>
            <w:r>
              <w:t>Content Types, Metadata &amp; CMS Fields</w:t>
            </w:r>
          </w:p>
        </w:tc>
        <w:tc>
          <w:tcPr>
            <w:tcW w:type="dxa" w:w="864"/>
          </w:tcPr>
          <w:p>
            <w:r>
              <w:t>/website-architecture/sb-04-02-03-content-types-metadata-cms-fields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SB-04-02-04</w:t>
            </w:r>
          </w:p>
        </w:tc>
        <w:tc>
          <w:tcPr>
            <w:tcW w:type="dxa" w:w="864"/>
          </w:tcPr>
          <w:p>
            <w:r>
              <w:t>Navigation Rules &amp; UX Standards</w:t>
            </w:r>
          </w:p>
        </w:tc>
        <w:tc>
          <w:tcPr>
            <w:tcW w:type="dxa" w:w="864"/>
          </w:tcPr>
          <w:p>
            <w:r>
              <w:t>WP-04-02-04</w:t>
            </w:r>
          </w:p>
        </w:tc>
        <w:tc>
          <w:tcPr>
            <w:tcW w:type="dxa" w:w="864"/>
          </w:tcPr>
          <w:p>
            <w:r>
              <w:t>Navigation Rules &amp; UX Standards</w:t>
            </w:r>
          </w:p>
        </w:tc>
        <w:tc>
          <w:tcPr>
            <w:tcW w:type="dxa" w:w="864"/>
          </w:tcPr>
          <w:p>
            <w:r>
              <w:t>/website-architecture/sb-04-02-04-navigation-rules-ux-standards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SB-04-02-05</w:t>
            </w:r>
          </w:p>
        </w:tc>
        <w:tc>
          <w:tcPr>
            <w:tcW w:type="dxa" w:w="864"/>
          </w:tcPr>
          <w:p>
            <w:r>
              <w:t>SEO, Analytics &amp; Tracking Plan</w:t>
            </w:r>
          </w:p>
        </w:tc>
        <w:tc>
          <w:tcPr>
            <w:tcW w:type="dxa" w:w="864"/>
          </w:tcPr>
          <w:p>
            <w:r>
              <w:t>WP-04-02-05</w:t>
            </w:r>
          </w:p>
        </w:tc>
        <w:tc>
          <w:tcPr>
            <w:tcW w:type="dxa" w:w="864"/>
          </w:tcPr>
          <w:p>
            <w:r>
              <w:t>SEO, Analytics &amp; Tracking Plan</w:t>
            </w:r>
          </w:p>
        </w:tc>
        <w:tc>
          <w:tcPr>
            <w:tcW w:type="dxa" w:w="864"/>
          </w:tcPr>
          <w:p>
            <w:r>
              <w:t>/website-architecture/sb-04-02-05-seo-analytics-tracking-plan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SB-04-02-06</w:t>
            </w:r>
          </w:p>
        </w:tc>
        <w:tc>
          <w:tcPr>
            <w:tcW w:type="dxa" w:w="864"/>
          </w:tcPr>
          <w:p>
            <w:r>
              <w:t>Publishing Workflow &amp; Governance</w:t>
            </w:r>
          </w:p>
        </w:tc>
        <w:tc>
          <w:tcPr>
            <w:tcW w:type="dxa" w:w="864"/>
          </w:tcPr>
          <w:p>
            <w:r>
              <w:t>WP-04-02-06</w:t>
            </w:r>
          </w:p>
        </w:tc>
        <w:tc>
          <w:tcPr>
            <w:tcW w:type="dxa" w:w="864"/>
          </w:tcPr>
          <w:p>
            <w:r>
              <w:t>Publishing Workflow &amp; Governance</w:t>
            </w:r>
          </w:p>
        </w:tc>
        <w:tc>
          <w:tcPr>
            <w:tcW w:type="dxa" w:w="864"/>
          </w:tcPr>
          <w:p>
            <w:r>
              <w:t>/website-architecture/sb-04-02-06-publishing-workflow-governance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SB-04-02-07</w:t>
            </w:r>
          </w:p>
        </w:tc>
        <w:tc>
          <w:tcPr>
            <w:tcW w:type="dxa" w:w="864"/>
          </w:tcPr>
          <w:p>
            <w:r>
              <w:t>Version Tagging, Release Notes &amp; Locking</w:t>
            </w:r>
          </w:p>
        </w:tc>
        <w:tc>
          <w:tcPr>
            <w:tcW w:type="dxa" w:w="864"/>
          </w:tcPr>
          <w:p>
            <w:r>
              <w:t>WP-04-02-07</w:t>
            </w:r>
          </w:p>
        </w:tc>
        <w:tc>
          <w:tcPr>
            <w:tcW w:type="dxa" w:w="864"/>
          </w:tcPr>
          <w:p>
            <w:r>
              <w:t>Version Tagging, Release Notes &amp; Locking</w:t>
            </w:r>
          </w:p>
        </w:tc>
        <w:tc>
          <w:tcPr>
            <w:tcW w:type="dxa" w:w="864"/>
          </w:tcPr>
          <w:p>
            <w:r>
              <w:t>/website-architecture/sb-04-02-07-version-tagging-release-notes-locking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SB-04-02-08</w:t>
            </w:r>
          </w:p>
        </w:tc>
        <w:tc>
          <w:tcPr>
            <w:tcW w:type="dxa" w:w="864"/>
          </w:tcPr>
          <w:p>
            <w:r>
              <w:t>QA, Accessibility, Security, Performance</w:t>
            </w:r>
          </w:p>
        </w:tc>
        <w:tc>
          <w:tcPr>
            <w:tcW w:type="dxa" w:w="864"/>
          </w:tcPr>
          <w:p>
            <w:r>
              <w:t>WP-04-02-08</w:t>
            </w:r>
          </w:p>
        </w:tc>
        <w:tc>
          <w:tcPr>
            <w:tcW w:type="dxa" w:w="864"/>
          </w:tcPr>
          <w:p>
            <w:r>
              <w:t>QA, Accessibility, Security, Performance</w:t>
            </w:r>
          </w:p>
        </w:tc>
        <w:tc>
          <w:tcPr>
            <w:tcW w:type="dxa" w:w="864"/>
          </w:tcPr>
          <w:p>
            <w:r>
              <w:t>/website-architecture/sb-04-02-08-qa-accessibility-security-performance</w:t>
            </w:r>
          </w:p>
        </w:tc>
        <w:tc>
          <w:tcPr>
            <w:tcW w:type="dxa" w:w="864"/>
          </w:tcPr>
          <w:p>
            <w:r>
              <w:t>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BookSection</w:t>
            </w:r>
          </w:p>
        </w:tc>
        <w:tc>
          <w:tcPr>
            <w:tcW w:type="dxa" w:w="864"/>
          </w:tcPr>
          <w:p>
            <w:r>
              <w:t>SB-04-03</w:t>
            </w:r>
          </w:p>
        </w:tc>
        <w:tc>
          <w:tcPr>
            <w:tcW w:type="dxa" w:w="864"/>
          </w:tcPr>
          <w:p>
            <w:r>
              <w:t>Website ↔ CIM Mapping Table (Starter)</w:t>
            </w:r>
          </w:p>
        </w:tc>
        <w:tc>
          <w:tcPr>
            <w:tcW w:type="dxa" w:w="864"/>
          </w:tcPr>
          <w:p>
            <w:r>
              <w:t>WP-04-03</w:t>
            </w:r>
          </w:p>
        </w:tc>
        <w:tc>
          <w:tcPr>
            <w:tcW w:type="dxa" w:w="864"/>
          </w:tcPr>
          <w:p>
            <w:r>
              <w:t>Website ↔ CIM Mapping Table (Starter)</w:t>
            </w:r>
          </w:p>
        </w:tc>
        <w:tc>
          <w:tcPr>
            <w:tcW w:type="dxa" w:w="864"/>
          </w:tcPr>
          <w:p>
            <w:r>
              <w:t>/website-architecture/sb-04-03-website-cim-mapping-table-starter</w:t>
            </w:r>
          </w:p>
        </w:tc>
        <w:tc>
          <w:tcPr>
            <w:tcW w:type="dxa" w:w="864"/>
          </w:tcPr>
          <w:p>
            <w:r>
              <w:t>Website+Book</w:t>
            </w:r>
          </w:p>
        </w:tc>
        <w:tc>
          <w:tcPr>
            <w:tcW w:type="dxa" w:w="864"/>
          </w:tcPr>
          <w:p>
            <w:r>
              <w:t>2-way (Website↔Book)</w:t>
            </w:r>
          </w:p>
        </w:tc>
        <w:tc>
          <w:tcPr>
            <w:tcW w:type="dxa" w:w="864"/>
          </w:tcPr>
          <w:p>
            <w:r>
              <w:t>CEO Ops / Content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</w:tbl>
    <w:p>
      <w:pPr>
        <w:pStyle w:val="Heading2"/>
      </w:pPr>
      <w:r>
        <w:t>4) Notion Sync Tracker (database fields)</w:t>
      </w:r>
    </w:p>
    <w:p>
      <w:pPr>
        <w:pStyle w:val="ListBullet"/>
      </w:pPr>
      <w:r>
        <w:t>Title, Canonical ID, Type, Source of Truth, Website Slug</w:t>
      </w:r>
    </w:p>
    <w:p>
      <w:pPr>
        <w:pStyle w:val="ListBullet"/>
      </w:pPr>
      <w:r>
        <w:t>Status, Owner, Version Lock, Last Sync Date, Next Review</w:t>
      </w:r>
    </w:p>
    <w:p>
      <w:pPr>
        <w:pStyle w:val="ListBullet"/>
      </w:pPr>
      <w:r>
        <w:t>Change Notes, Links</w:t>
      </w:r>
    </w:p>
    <w:p>
      <w:pPr>
        <w:pStyle w:val="Heading2"/>
      </w:pPr>
      <w:r>
        <w:t>5) Publishing Cadence</w:t>
      </w:r>
    </w:p>
    <w:p>
      <w:pPr>
        <w:pStyle w:val="ListBullet"/>
      </w:pPr>
      <w:r>
        <w:t>Weekly: review Needs Review, update canonical source, sync surfaces, log registry bumps.</w:t>
      </w:r>
    </w:p>
    <w:p>
      <w:pPr>
        <w:pStyle w:val="ListBullet"/>
      </w:pPr>
      <w:r>
        <w:t>Monthly: refresh public pages and data room journey as needed.</w:t>
      </w:r>
    </w:p>
    <w:p>
      <w:pPr>
        <w:pStyle w:val="ListBullet"/>
      </w:pPr>
      <w:r>
        <w:t>Quarterly: freeze Systems Book PDF export and audit links/registries.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