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Generative AI in Education: From Classroom Co‑Pilot to Accountable System</w:t>
      </w:r>
    </w:p>
    <w:p/>
    <w:p>
      <w:pPr>
        <w:pStyle w:val="Heading2"/>
      </w:pPr>
      <w:r>
        <w:t>Introduction</w:t>
      </w:r>
    </w:p>
    <w:p/>
    <w:p>
      <w:r>
        <w:t>Generative AI is quickly shifting from a novelty to a foundational layer in teaching and learning—yet its value depends on how intentionally schools design, assess, and govern its use. This report first examines how GenAI can be embedded into curriculum as adaptive practice, continuous feedback, tutoring, and project scaffolding while preserving student agency through “human-in-the-loop” guardrails. It then explores how assessment must evolve to remain valid, reliable, and integrity-centered—favoring process evidence, contextual judgment, and structured critique over detector-driven enforcement. Finally, it outlines governance requirements for privacy, equity, and accountability, emphasizing use‑case-based policies, FERPA-aware data practices, and ongoing review as tools and risks rapidly change.</w:t>
      </w:r>
    </w:p>
    <w:p/>
    <w:p>
      <w:r>
        <w:t>---</w:t>
      </w:r>
    </w:p>
    <w:p/>
    <w:p/>
    <w:p/>
    <w:p>
      <w:r>
        <w:t>Generative AI (GenAI) is shifting from a standalone “tool” into an instructional and institutional layer that can sit inside routine educational workflows—practice, feedback, tutoring, lesson design, and assessment—because it can respond dynamically to learner inputs and adjust support in real time [5]. The strongest throughline across the memos is that educational value is highest when GenAI is embedded as a **human-in-the-loop system**: it produces drafts, suggestions, and adaptive prompts, while educators and students remain responsible for judgment, verification, and final decisions [2][3][4]. This design stance protects student agency (students still do the thinking) and preserves educator professionalism (teachers still set intent, choose strategies, and validate outputs).</w:t>
      </w:r>
    </w:p>
    <w:p/>
    <w:p>
      <w:pPr>
        <w:pStyle w:val="Heading3"/>
      </w:pPr>
      <w:r>
        <w:t>Where GenAI fits best in teaching and learning</w:t>
      </w:r>
    </w:p>
    <w:p>
      <w:r>
        <w:t>High-impact curriculum integration points cluster around **continuous practice and feedback loops**. GenAI can diagnose misconceptions from student responses and generate tailored explanations or step-by-step scaffolds—making feedback less of an end-of-task event and more of an always-available support during drafting, revision, and practice [5]. In parallel, common classroom use cases emphasize “instant feedback,” adaptive learning, and virtual tutoring, suggesting a practical pathway for differentiation at scale—if students are taught to critique AI output rather than accept it uncritically [1]. Project-based learning is another defensible use: GenAI can help students get started (brainstorming, early research) and improve work in critique phases, but the instructional goal must explicitly include critical reading, editing, and reflection so the student remains the accountable author [4].</w:t>
      </w:r>
    </w:p>
    <w:p/>
    <w:p>
      <w:r>
        <w:t>GenAI also offers a second differentiation channel: **supporting educators’ planning and resource creation**. Guidance highlights productivity gains from drafting lesson structures, alternate explanations, quiz items, and rubrics, with teachers retaining control over alignment to standards, appropriateness for specific learners, and quality assurance [2][3]. The consistent pattern is “AI for first drafts; teachers for final decisions,” enabling iteration and multiple entry points without surrendering instructional judgment [2][3].</w:t>
      </w:r>
    </w:p>
    <w:p/>
    <w:p>
      <w:pPr>
        <w:pStyle w:val="Heading3"/>
      </w:pPr>
      <w:r>
        <w:t>Assessment redesign: from AI resistance to AI resilience</w:t>
      </w:r>
    </w:p>
    <w:p>
      <w:r>
        <w:t>Assessment is under immediate strain because GenAI changes what student work looks like and can mask whether outputs reflect learning or tool use. The memos converge on an “AI-resilient” response: shift assessment toward **contextualized judgment and process evidence** rather than polished final products. Approaches include requiring students to justify choices, explain tradeoffs, connect conclusions to course-specific discussions, and document revisions—making thinking visible in ways that are harder to outsource [1]. A complementary strategy is to make GenAI output itself an object of evaluation: students compare responses, critique weaknesses, and apply explicit criteria, with rubrics used to assess both prompt quality and how AI output is integrated [2]. This reframing strengthens validity by aligning assessment with higher-order outcomes (evaluation, reasoning, contextual analysis) rather than text production alone [2].</w:t>
      </w:r>
    </w:p>
    <w:p/>
    <w:p>
      <w:r>
        <w:t>The memos also warn that overreliance on AI-detection enforcement can reduce fairness and reliability, creating an “arms race” and potentially shifting assessment away from learning evidence toward imperfect tool signals [3]. Notably, integrity is framed not only as policing but also as **engagement design**: learning experiences that increase autonomy, competence, and authentic involvement can reduce incentives to cheat, and interactive/simulation-based tasks can make understanding more situated and observable [1].</w:t>
      </w:r>
    </w:p>
    <w:p/>
    <w:p>
      <w:pPr>
        <w:pStyle w:val="Heading3"/>
      </w:pPr>
      <w:r>
        <w:t>Governance: use-case-based policies, privacy compliance, and equity</w:t>
      </w:r>
    </w:p>
    <w:p>
      <w:r>
        <w:t>As GenAI becomes infrastructure, governance must address risks that vary sharply by workflow. A central governance takeaway is that policy cannot be purely **tool-based** (approve/ban a product); it must be **use-case-based**, because risk depends on audience (students vs. staff), context, and the likelihood of sensitive data appearing in prompts/outputs [1]. Higher-risk deployments include tutoring systems personalizing from student inputs, mental health chatbots, and personal essay generation—contexts where student PII is likely [1]. Legacy legal frameworks, especially FERPA, are being stretched by new AI data flows to third parties, and even “AI detection” services can introduce FERPA risk if student work is sent to vendors without appropriate conditions, disclosure, or consent [4].</w:t>
      </w:r>
    </w:p>
    <w:p/>
    <w:p>
      <w:r>
        <w:t>Equity considerations cut both ways. GenAI can expand access through translation and language supports and can be used in teacher “back-office” workflows that do not increase student screen time [2]. Yet governance guidance also highlights the emerging “tiered AI” problem: gaps in cost and performance across tools can widen disparities, intersecting with accessibility and accommodations [3]. Across sources, accountability is positioned as continuous: institutions need living acceptable-use rules, periodic re-evaluation as tools evolve, transparency expectations, and mechanisms to assess/mitigate bias—recognizing that classroom-level practices and institution-wide governance can conflict without coordinated review cycles [3].</w:t>
      </w:r>
    </w:p>
    <w:p/>
    <w:p>
      <w:r>
        <w:t>Overall, the combined memos point to a coherent implementation posture: embed GenAI where it strengthens formative feedback and iterative learning; redesign assessment to capture reasoning and process; and govern adoption through use-case-specific privacy, equity, and accountability controls—so GenAI augments learning without displacing student agency or educator judgment [1][2][3][4][5].</w:t>
      </w:r>
    </w:p>
    <w:p/>
    <w:p/>
    <w:p>
      <w:r>
        <w:t>---</w:t>
      </w:r>
    </w:p>
    <w:p/>
    <w:p>
      <w:pPr>
        <w:pStyle w:val="Heading2"/>
      </w:pPr>
      <w:r>
        <w:t>Conclusion</w:t>
      </w:r>
    </w:p>
    <w:p/>
    <w:p>
      <w:r>
        <w:t>Generative AI can strengthen education when it is treated as an interactive instructional layer—not a substitute for teachers or student thinking. Embedded thoughtfully, GenAI supports adaptive practice, continuous feedback, tutoring, and project scaffolding while preserving student agency through “human-in-the-loop” design, AI literacy, and clear guardrails around privacy, copyright, and hallucinations. Assessment must evolve in parallel: AI‑resilient tasks emphasize process evidence, contextual judgment, and structured critique of AI outputs, reducing reliance on unstable detection-and-punishment approaches. Finally, sustainable adoption depends on governance that is use‑case‑based, FERPA‑aligned, equity‑aware, and continuously updated for accountability, transparency, and rapid tool change.</w:t>
      </w:r>
    </w:p>
    <w:p/>
    <w:p>
      <w:pPr>
        <w:pStyle w:val="Heading2"/>
      </w:pPr>
      <w:r>
        <w:t>Sources</w:t>
      </w:r>
    </w:p>
    <w:p/>
    <w:p>
      <w:r>
        <w:t xml:space="preserve">[1] https://pmc.ncbi.nlm.nih.gov/articles/PMC11540794/  </w:t>
      </w:r>
    </w:p>
    <w:p>
      <w:r>
        <w:t xml:space="preserve">[2] https://ctl.utexas.edu/generative-ai-teaching-and-learning-prompt-design  </w:t>
      </w:r>
    </w:p>
    <w:p>
      <w:r>
        <w:t xml:space="preserve">[3] https://www.cambridge.org/core/elements/how-to-use-generative-ai-in-educational-research/916142E735B678F86A59240BFE651F5C  </w:t>
      </w:r>
    </w:p>
    <w:p>
      <w:r>
        <w:t xml:space="preserve">[4] https://geniusee.com/single-blog/generative-ai-education-benefits-risks-use-cases  </w:t>
      </w:r>
    </w:p>
    <w:p>
      <w:r>
        <w:t xml:space="preserve">[5] https://education.illinois.edu/about/news-events/news/article/2024/10/24/ai-in-schools--pros-and-cons  </w:t>
      </w:r>
    </w:p>
    <w:p>
      <w:r>
        <w:t xml:space="preserve">[6] https://www.hdwebsoft.com/blog/top-10-use-cases-of-generative-ai-in-education.html  </w:t>
      </w:r>
    </w:p>
    <w:p>
      <w:r>
        <w:t xml:space="preserve">[7] https://www.youtube.com/watch?v=cmizRLMeBcM  </w:t>
      </w:r>
    </w:p>
    <w:p>
      <w:r>
        <w:t xml:space="preserve">[8] https://teaching.iu.edu/resources/generative-ai/teaching-learning.html  </w:t>
      </w:r>
    </w:p>
    <w:p>
      <w:r>
        <w:t xml:space="preserve">[9] https://files.eric.ed.gov/fulltext/EJ1468033.pdf  </w:t>
      </w:r>
    </w:p>
    <w:p>
      <w:r>
        <w:t xml:space="preserve">[10] https://arxiv.org/html/2501.06682v1  </w:t>
      </w:r>
    </w:p>
    <w:p>
      <w:r>
        <w:t xml:space="preserve">[11] https://fpf.org/wp-content/uploads/2024/10/Ed_AI_legal_compliance.pdf_FInal_OCT24.pdf  </w:t>
      </w:r>
    </w:p>
    <w:p>
      <w:r>
        <w:t xml:space="preserve">[12] https://www.tshanywhere.org/post/generative-ai-in-education-research-guidance  </w:t>
      </w:r>
    </w:p>
    <w:p>
      <w:r>
        <w:t xml:space="preserve">[13] https://sacscoc.org/app/uploads/2025/06/AI-Good-Practices-Document.pdf  </w:t>
      </w:r>
    </w:p>
    <w:p>
      <w:r>
        <w:t>[14] https://www.nea.org/resource-library/artificial-intelligence-education/v-five-principles-use-artificial-intelligence-educatio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