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DFD" w:rsidRDefault="004A3DF5">
      <w:pPr>
        <w:pStyle w:val="Title"/>
      </w:pPr>
      <w:r>
        <w:t>Neuro-Spectral Audio Synthesis: Exploiting characteristics of the Discrete Fourier Transform in the real-time simulation of musical instruments using parallel Neural Networks</w:t>
      </w:r>
    </w:p>
    <w:p w:rsidR="00A04DFD" w:rsidRDefault="004A3DF5">
      <w:pPr>
        <w:pStyle w:val="Author"/>
      </w:pPr>
      <w:r>
        <w:t>Carlos Tarjano</w:t>
      </w:r>
    </w:p>
    <w:p w:rsidR="00A04DFD" w:rsidRDefault="004A3DF5">
      <w:pPr>
        <w:pStyle w:val="Heading1"/>
      </w:pPr>
      <w:bookmarkStart w:id="0" w:name="abstract"/>
      <w:r>
        <w:t>Abstract</w:t>
      </w:r>
      <w:bookmarkEnd w:id="0"/>
    </w:p>
    <w:p w:rsidR="00A04DFD" w:rsidRDefault="004A3DF5">
      <w:pPr>
        <w:pStyle w:val="FirstParagraph"/>
      </w:pPr>
      <w:r>
        <w:t xml:space="preserve">In order to exhibit a credible sound texture, digital musical instruments that possess real-world counterparts still rely heavily on the reproduction of manipulated pre-recorded samples. While the computing power of present-day computers enables their use </w:t>
      </w:r>
      <w:r>
        <w:t xml:space="preserve">in real-time, many restrictions arising from this sample-based design still persist; the huge on disk space requirements and the stiffness of articulations being the most prominent. While offering greater flexibility, pure synthesis approaches, in general </w:t>
      </w:r>
      <w:r>
        <w:t>based on physical properties of the instrument, fail to capture and reproduce certain nuances central to the verisimilitude of the emulation, offering a dry, synthetic output, at a high computational cost. We propose a method where ensembles of lightweight</w:t>
      </w:r>
      <w:r>
        <w:t xml:space="preserve"> feed-forward neural networks working in parallel are learned, from crafted frequency-domain features of an instrument sound spectra, an arbitrary instrument’s voice and articulations realistically and efficiently. We find that our method, while retaining </w:t>
      </w:r>
      <w:r>
        <w:t>perceptual sound quality on par with sampled approaches, exhibits 1/10 of latency times of industry standard real-time synthesis algorithms, and 1/100 of the disk space requirements of industry standard sample-based digital musical instruments. This method</w:t>
      </w:r>
      <w:r>
        <w:t xml:space="preserve"> can, therefore, serve as a basis for more efficient implementations in dedicated platforms, such as keyboards and electronic drums and in general purpose platforms, like desktops and tablets or open-source hardware like Arduino and Raspberry Pi.</w:t>
      </w:r>
    </w:p>
    <w:p w:rsidR="00A04DFD" w:rsidRDefault="004A3DF5">
      <w:pPr>
        <w:pStyle w:val="BodyText"/>
      </w:pPr>
      <w:r>
        <w:rPr>
          <w:b/>
        </w:rPr>
        <w:t>Key-words</w:t>
      </w:r>
      <w:r>
        <w:rPr>
          <w:b/>
        </w:rPr>
        <w:t>:</w:t>
      </w:r>
      <w:r>
        <w:t xml:space="preserve"> neural networks, acoustic modelling, digital musical instruments, real-time audio synthesis</w:t>
      </w:r>
    </w:p>
    <w:p w:rsidR="00A04DFD" w:rsidRDefault="004A3DF5">
      <w:pPr>
        <w:pStyle w:val="Heading1"/>
      </w:pPr>
      <w:bookmarkStart w:id="1" w:name="introduction"/>
      <w:r>
        <w:t>Introduction</w:t>
      </w:r>
      <w:bookmarkEnd w:id="1"/>
    </w:p>
    <w:p w:rsidR="00A04DFD" w:rsidRDefault="004A3DF5">
      <w:pPr>
        <w:pStyle w:val="FirstParagraph"/>
      </w:pPr>
      <w:r>
        <w:t>From industry’s perspective, while the interest in digital musical instruments has grown significantly in the last decade (Staudt, 2016), cutting-edg</w:t>
      </w:r>
      <w:r>
        <w:t>e virtual instruments used in professional studios still rely primarily on collections of pre-recorded sound samples (Smith, 2008), demanding a high amount of disk space and reasonable processing power of the hardware (in general computers) used.</w:t>
      </w:r>
    </w:p>
    <w:p w:rsidR="00A04DFD" w:rsidRDefault="004A3DF5">
      <w:pPr>
        <w:pStyle w:val="BodyText"/>
      </w:pPr>
      <w:r>
        <w:t>For platf</w:t>
      </w:r>
      <w:r>
        <w:t xml:space="preserve">orms where processing power and storage are limited, such as digital keyboards and electronic drums, for example, </w:t>
      </w:r>
      <w:bookmarkStart w:id="2" w:name="_GoBack"/>
      <w:r>
        <w:t xml:space="preserve">it is common the use of libraries of a smaller size and quality, to accommodate hardware restrictions, designed to enable the practice of the </w:t>
      </w:r>
      <w:r>
        <w:t xml:space="preserve">instrument; Production quality is achieved by connecting those </w:t>
      </w:r>
      <w:bookmarkEnd w:id="2"/>
      <w:r>
        <w:t xml:space="preserve">devices to a computer and </w:t>
      </w:r>
      <w:r>
        <w:lastRenderedPageBreak/>
        <w:t>using them as controllers of a software in order to access more elaborated libraries and algorithms.</w:t>
      </w:r>
    </w:p>
    <w:p w:rsidR="00A04DFD" w:rsidRDefault="004A3DF5">
      <w:pPr>
        <w:pStyle w:val="BodyText"/>
      </w:pPr>
      <w:r>
        <w:t>The recent developments in neural networks theory and applications</w:t>
      </w:r>
      <w:r>
        <w:t xml:space="preserve"> suggest their potential to mitigate those limitations. In the field of computer vision, for instance, one can observe a plethora of implementations that regularly expand the frontiers of the field.</w:t>
      </w:r>
    </w:p>
    <w:p w:rsidR="00A04DFD" w:rsidRDefault="004A3DF5">
      <w:pPr>
        <w:pStyle w:val="BodyText"/>
      </w:pPr>
      <w:r>
        <w:t>Most of the works that investigate the application of neu</w:t>
      </w:r>
      <w:r>
        <w:t>ral networks in an audio context, however, operate at a higher level of abstraction than the direct representation of sounds: Usually based in the manipulation of human-readable musical representations such as scores. The main reason for this is the high d</w:t>
      </w:r>
      <w:r>
        <w:t>imensionality of the data: in the case of CD quality audio, with a frame rate of 44100 samples per second, for example, the synthesis of a 10 seconds piece involves the creation of more than 4 million samples.</w:t>
      </w:r>
    </w:p>
    <w:p w:rsidR="00A04DFD" w:rsidRDefault="004A3DF5">
      <w:pPr>
        <w:pStyle w:val="BodyText"/>
      </w:pPr>
      <w:r>
        <w:t xml:space="preserve">The work developed by the teams behind Google </w:t>
      </w:r>
      <w:r>
        <w:t xml:space="preserve">Brain and DeepMind (Engel </w:t>
      </w:r>
      <w:r>
        <w:rPr>
          <w:i/>
        </w:rPr>
        <w:t>et al.</w:t>
      </w:r>
      <w:r>
        <w:t xml:space="preserve">, 2017) is a notable exception: A neural architecture based on Wavenet (Van Den Oord </w:t>
      </w:r>
      <w:r>
        <w:rPr>
          <w:i/>
        </w:rPr>
        <w:t>et al.</w:t>
      </w:r>
      <w:r>
        <w:t xml:space="preserve">, 2016) is used to directly generate sound after training with audio samples from various musical instruments. The results show that </w:t>
      </w:r>
      <w:r>
        <w:t>a multi-layered convolutional architecture is able to learn time domain representations for several instrument types.</w:t>
      </w:r>
    </w:p>
    <w:p w:rsidR="00A04DFD" w:rsidRDefault="004A3DF5">
      <w:pPr>
        <w:pStyle w:val="BodyText"/>
      </w:pPr>
      <w:r>
        <w:t>An experimental extension of this work, called Magenta (“Magenta”, [s.d.]), further investigates latent representations for musical sequen</w:t>
      </w:r>
      <w:r>
        <w:t xml:space="preserve">ces in the time domain, from a probabilistic approach (Roberts, Engel e Oore </w:t>
      </w:r>
      <w:r>
        <w:rPr>
          <w:i/>
        </w:rPr>
        <w:t>et al.</w:t>
      </w:r>
      <w:r>
        <w:t xml:space="preserve">, 2018; Roberts, Engel e Raffel </w:t>
      </w:r>
      <w:r>
        <w:rPr>
          <w:i/>
        </w:rPr>
        <w:t>et al.</w:t>
      </w:r>
      <w:r>
        <w:t>, 2018).</w:t>
      </w:r>
    </w:p>
    <w:p w:rsidR="00A04DFD" w:rsidRDefault="004A3DF5">
      <w:pPr>
        <w:pStyle w:val="BodyText"/>
      </w:pPr>
      <w:r>
        <w:t>We can take advantage of the periodic character of the samples and represent them instead in the frequency domain. The Fourier</w:t>
      </w:r>
      <w:r>
        <w:t xml:space="preserve"> transform provides a perfect, reversible, representation of a wave in the frequency domain. Considering the fact that we are constrained to temporal representations in the real domain, the frequency-domain representations will consist of a vector of compl</w:t>
      </w:r>
      <w:r>
        <w:t>ex numbers, half the size of the original number of samples.</w:t>
      </w:r>
    </w:p>
    <w:p w:rsidR="00A04DFD" w:rsidRDefault="004A3DF5">
      <w:pPr>
        <w:pStyle w:val="BodyText"/>
      </w:pPr>
      <w:r>
        <w:t>At first, such a domain transformation would not introduce a more compact wave representation, from a storage point of view, since complex numbers are represented by pairs of real numbers in most</w:t>
      </w:r>
      <w:r>
        <w:t xml:space="preserve"> programming languages. Considering, however, that the human ear is not able to perceive frequencies outside the 20 Hz to 20 kHz band, we have identified one of the advantages of working in the frequency domain: we can truncate the FFT result to this inter</w:t>
      </w:r>
      <w:r>
        <w:t>val (taking care to translate it in terms of the local frequencies of the transform).</w:t>
      </w:r>
    </w:p>
    <w:p w:rsidR="00A04DFD" w:rsidRDefault="004A3DF5">
      <w:pPr>
        <w:pStyle w:val="BodyText"/>
      </w:pPr>
      <w:r>
        <w:t xml:space="preserve">Another advantage comes in the form of its independence from the duration of the signal, which allows the use of a dense architecture in the prediction of variable sound </w:t>
      </w:r>
      <w:r>
        <w:t>durations. Further advantages of this approach will be illustrated, taking into account the physical characteristics of the instrument to be emulated and the properties of the transform.</w:t>
      </w:r>
    </w:p>
    <w:p w:rsidR="00A04DFD" w:rsidRDefault="004A3DF5">
      <w:pPr>
        <w:pStyle w:val="BodyText"/>
      </w:pPr>
      <w:r>
        <w:t>To the best of our knowledge, frequency-domain representations of sou</w:t>
      </w:r>
      <w:r>
        <w:t xml:space="preserve">nd data, a popular technique in the digital signal processing field, was seldom used in the context of neural sound synthesis. (Albeit being common in sound classification tasks). This is unfortunate, </w:t>
      </w:r>
      <w:r>
        <w:lastRenderedPageBreak/>
        <w:t>as frequency-domain representations are far more well b</w:t>
      </w:r>
      <w:r>
        <w:t xml:space="preserve">ehaved than their time-domain counterparts when applied to harmonic sounds. Figure </w:t>
      </w:r>
      <w:hyperlink w:anchor="fig:crashxpiano">
        <w:r>
          <w:rPr>
            <w:rStyle w:val="Hyperlink"/>
          </w:rPr>
          <w:t>1</w:t>
        </w:r>
      </w:hyperlink>
      <w:r>
        <w:t xml:space="preserve"> compares the two representations, in the case of harmonic and nonharmonic sounds.</w:t>
      </w:r>
    </w:p>
    <w:p w:rsidR="00A04DFD" w:rsidRDefault="00A04DFD">
      <w:bookmarkStart w:id="3" w:name="fig:crashxpiano"/>
    </w:p>
    <w:p w:rsidR="00A04DFD" w:rsidRDefault="004A3DF5">
      <w:pPr>
        <w:pStyle w:val="CaptionedFigure"/>
      </w:pPr>
      <w:r>
        <w:rPr>
          <w:noProof/>
        </w:rPr>
        <w:drawing>
          <wp:inline distT="0" distB="0" distL="0" distR="0">
            <wp:extent cx="5334000" cy="3634153"/>
            <wp:effectExtent l="0" t="0" r="0" b="0"/>
            <wp:docPr id="1" name="Picture" descr="Figure 1: Audible frequency spectrum - cymbal crash x piano key 1, A0"/>
            <wp:cNvGraphicFramePr/>
            <a:graphic xmlns:a="http://schemas.openxmlformats.org/drawingml/2006/main">
              <a:graphicData uri="http://schemas.openxmlformats.org/drawingml/2006/picture">
                <pic:pic xmlns:pic="http://schemas.openxmlformats.org/drawingml/2006/picture">
                  <pic:nvPicPr>
                    <pic:cNvPr id="0" name="Picture" descr="images/crashxpiano.png"/>
                    <pic:cNvPicPr>
                      <a:picLocks noChangeAspect="1" noChangeArrowheads="1"/>
                    </pic:cNvPicPr>
                  </pic:nvPicPr>
                  <pic:blipFill>
                    <a:blip r:embed="rId7"/>
                    <a:stretch>
                      <a:fillRect/>
                    </a:stretch>
                  </pic:blipFill>
                  <pic:spPr bwMode="auto">
                    <a:xfrm>
                      <a:off x="0" y="0"/>
                      <a:ext cx="5334000" cy="3634153"/>
                    </a:xfrm>
                    <a:prstGeom prst="rect">
                      <a:avLst/>
                    </a:prstGeom>
                    <a:noFill/>
                    <a:ln w="9525">
                      <a:noFill/>
                      <a:headEnd/>
                      <a:tailEnd/>
                    </a:ln>
                  </pic:spPr>
                </pic:pic>
              </a:graphicData>
            </a:graphic>
          </wp:inline>
        </w:drawing>
      </w:r>
    </w:p>
    <w:p w:rsidR="00A04DFD" w:rsidRDefault="004A3DF5">
      <w:pPr>
        <w:pStyle w:val="ImageCaption"/>
      </w:pPr>
      <w:r>
        <w:t>Figure 1: Audible frequency spectrum - cymbal cr</w:t>
      </w:r>
      <w:r>
        <w:t>ash x piano key 1, A0</w:t>
      </w:r>
    </w:p>
    <w:bookmarkEnd w:id="3"/>
    <w:p w:rsidR="00A04DFD" w:rsidRDefault="004A3DF5">
      <w:pPr>
        <w:pStyle w:val="BodyText"/>
      </w:pPr>
      <w:r>
        <w:t>It’s clear that the change of domain, via the efficient algorithm Fast Fourier Transform, greatly simplifies the representation of harmonic sounds. Insight from acoustic research can simplify those representations even further, allevi</w:t>
      </w:r>
      <w:r>
        <w:t>ating the burden of neural networks.</w:t>
      </w:r>
    </w:p>
    <w:p w:rsidR="00A04DFD" w:rsidRDefault="004A3DF5">
      <w:pPr>
        <w:pStyle w:val="BodyText"/>
      </w:pPr>
      <w:r>
        <w:t>Considering the specific case of a standard grand piano, we can arrive at a basic model, to be extended later, that gives us a reasonable (albeit bland sounding) initial approximation. Observing that in equal-tempered i</w:t>
      </w:r>
      <w:r>
        <w:t xml:space="preserve">nstruments, as is the piano’s case, the ratio of (theoretical) frequencies in adjacent notes is fixed at </w:t>
      </w:r>
      <m:oMath>
        <m:sSup>
          <m:sSupPr>
            <m:ctrlPr>
              <w:rPr>
                <w:rFonts w:ascii="Cambria Math" w:hAnsi="Cambria Math"/>
              </w:rPr>
            </m:ctrlPr>
          </m:sSupPr>
          <m:e>
            <m:r>
              <w:rPr>
                <w:rFonts w:ascii="Cambria Math" w:hAnsi="Cambria Math"/>
              </w:rPr>
              <m:t>2</m:t>
            </m:r>
          </m:e>
          <m:sup>
            <m:r>
              <w:rPr>
                <w:rFonts w:ascii="Cambria Math" w:hAnsi="Cambria Math"/>
              </w:rPr>
              <m:t>1/12</m:t>
            </m:r>
          </m:sup>
        </m:sSup>
      </m:oMath>
      <w:r>
        <w:t xml:space="preserve">, we can arrive at a formula relating the 88 piano keys to their fundamental frequencies of the form </w:t>
      </w:r>
      <m:oMath>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rPr>
          <m:t>k</m:t>
        </m:r>
        <m:r>
          <w:rPr>
            <w:rFonts w:ascii="Cambria Math" w:hAnsi="Cambria Math"/>
          </w:rPr>
          <m:t>)=440 </m:t>
        </m:r>
        <m:sSup>
          <m:sSupPr>
            <m:ctrlPr>
              <w:rPr>
                <w:rFonts w:ascii="Cambria Math" w:hAnsi="Cambria Math"/>
              </w:rPr>
            </m:ctrlPr>
          </m:sSupPr>
          <m:e>
            <m:r>
              <w:rPr>
                <w:rFonts w:ascii="Cambria Math" w:hAnsi="Cambria Math"/>
              </w:rPr>
              <m:t>2</m:t>
            </m:r>
          </m:e>
          <m:sup>
            <m:f>
              <m:fPr>
                <m:ctrlPr>
                  <w:rPr>
                    <w:rFonts w:ascii="Cambria Math" w:hAnsi="Cambria Math"/>
                  </w:rPr>
                </m:ctrlPr>
              </m:fPr>
              <m:num>
                <m:r>
                  <w:rPr>
                    <w:rFonts w:ascii="Cambria Math" w:hAnsi="Cambria Math"/>
                  </w:rPr>
                  <m:t>k</m:t>
                </m:r>
                <m:r>
                  <w:rPr>
                    <w:rFonts w:ascii="Cambria Math" w:hAnsi="Cambria Math"/>
                  </w:rPr>
                  <m:t>-</m:t>
                </m:r>
                <m:r>
                  <w:rPr>
                    <w:rFonts w:ascii="Cambria Math" w:hAnsi="Cambria Math"/>
                  </w:rPr>
                  <m:t>49</m:t>
                </m:r>
              </m:num>
              <m:den>
                <m:r>
                  <w:rPr>
                    <w:rFonts w:ascii="Cambria Math" w:hAnsi="Cambria Math"/>
                  </w:rPr>
                  <m:t>12</m:t>
                </m:r>
              </m:den>
            </m:f>
          </m:sup>
        </m:sSup>
      </m:oMath>
      <w:r>
        <w:t xml:space="preserve">, where </w:t>
      </w:r>
      <m:oMath>
        <m:r>
          <w:rPr>
            <w:rFonts w:ascii="Cambria Math" w:hAnsi="Cambria Math"/>
          </w:rPr>
          <m:t>k</m:t>
        </m:r>
      </m:oMath>
      <w:r>
        <w:t xml:space="preserve"> stands for the</w:t>
      </w:r>
      <w:r>
        <w:t xml:space="preserve"> piano key number, from 1 to 88, and 440 Hz is the standard frequency for key 49, with pitch A4, also known as concert pitch.</w:t>
      </w:r>
    </w:p>
    <w:p w:rsidR="00A04DFD" w:rsidRDefault="004A3DF5">
      <w:pPr>
        <w:pStyle w:val="BodyText"/>
      </w:pPr>
      <w:r>
        <w:t>In practice, however, the fundamental frequencies deviate some cents from their theoretical value, due to a tuning technique named</w:t>
      </w:r>
      <w:r>
        <w:t xml:space="preserve"> octave stretching that flattens the lowest keys and sharpens the highest ones, with respect to their expected fundamental frequencies, in an attempt to attenuate the clash between partials from different keys (Koenig, 2014). This tuning behavior was first</w:t>
      </w:r>
      <w:r>
        <w:t xml:space="preserve"> exposed by Railsback in a 1938 paper </w:t>
      </w:r>
      <w:r>
        <w:lastRenderedPageBreak/>
        <w:t xml:space="preserve">published in The Journal of the Acoustical Society of America where the tuning of various pianos was compared, can be seen in the figure </w:t>
      </w:r>
      <w:hyperlink w:anchor="fig:railsback">
        <w:r>
          <w:rPr>
            <w:rStyle w:val="Hyperlink"/>
          </w:rPr>
          <w:t>2</w:t>
        </w:r>
      </w:hyperlink>
      <w:r>
        <w:t>.</w:t>
      </w:r>
    </w:p>
    <w:p w:rsidR="00A04DFD" w:rsidRDefault="00A04DFD">
      <w:bookmarkStart w:id="4" w:name="fig:railsback"/>
    </w:p>
    <w:p w:rsidR="00A04DFD" w:rsidRDefault="004A3DF5">
      <w:pPr>
        <w:pStyle w:val="CaptionedFigure"/>
      </w:pPr>
      <w:r>
        <w:rPr>
          <w:noProof/>
        </w:rPr>
        <w:drawing>
          <wp:inline distT="0" distB="0" distL="0" distR="0">
            <wp:extent cx="5334000" cy="2976430"/>
            <wp:effectExtent l="0" t="0" r="0" b="0"/>
            <wp:docPr id="2" name="Picture" descr="Figure 2: Railsback curve (Tung, 2006)"/>
            <wp:cNvGraphicFramePr/>
            <a:graphic xmlns:a="http://schemas.openxmlformats.org/drawingml/2006/main">
              <a:graphicData uri="http://schemas.openxmlformats.org/drawingml/2006/picture">
                <pic:pic xmlns:pic="http://schemas.openxmlformats.org/drawingml/2006/picture">
                  <pic:nvPicPr>
                    <pic:cNvPr id="0" name="Picture" descr="images/railsback.png"/>
                    <pic:cNvPicPr>
                      <a:picLocks noChangeAspect="1" noChangeArrowheads="1"/>
                    </pic:cNvPicPr>
                  </pic:nvPicPr>
                  <pic:blipFill>
                    <a:blip r:embed="rId8"/>
                    <a:stretch>
                      <a:fillRect/>
                    </a:stretch>
                  </pic:blipFill>
                  <pic:spPr bwMode="auto">
                    <a:xfrm>
                      <a:off x="0" y="0"/>
                      <a:ext cx="5334000" cy="2976430"/>
                    </a:xfrm>
                    <a:prstGeom prst="rect">
                      <a:avLst/>
                    </a:prstGeom>
                    <a:noFill/>
                    <a:ln w="9525">
                      <a:noFill/>
                      <a:headEnd/>
                      <a:tailEnd/>
                    </a:ln>
                  </pic:spPr>
                </pic:pic>
              </a:graphicData>
            </a:graphic>
          </wp:inline>
        </w:drawing>
      </w:r>
    </w:p>
    <w:p w:rsidR="00A04DFD" w:rsidRDefault="004A3DF5">
      <w:pPr>
        <w:pStyle w:val="ImageCaption"/>
      </w:pPr>
      <w:r>
        <w:t>Figure 2: Railsback curve (Tung, 2006)</w:t>
      </w:r>
    </w:p>
    <w:bookmarkEnd w:id="4"/>
    <w:p w:rsidR="00A04DFD" w:rsidRDefault="004A3DF5">
      <w:pPr>
        <w:pStyle w:val="BodyText"/>
      </w:pPr>
      <w:r>
        <w:t>This can be incorporated cheaply into the model, before the neural network’s treatment. To account for the partials, one simple strategy is to assume the ideal string case where partials are integer multiples of the key’s fundamental frequency; we can thus</w:t>
      </w:r>
      <w:r>
        <w:t xml:space="preserve"> write </w:t>
      </w:r>
      <m:oMath>
        <m:r>
          <w:rPr>
            <w:rFonts w:ascii="Cambria Math" w:hAnsi="Cambria Math"/>
          </w:rPr>
          <m:t>f</m:t>
        </m:r>
        <m:r>
          <w:rPr>
            <w:rFonts w:ascii="Cambria Math" w:hAnsi="Cambria Math"/>
          </w:rPr>
          <m:t>(</m:t>
        </m:r>
        <m:r>
          <w:rPr>
            <w:rFonts w:ascii="Cambria Math" w:hAnsi="Cambria Math"/>
          </w:rPr>
          <m:t>n</m:t>
        </m:r>
        <m:r>
          <w:rPr>
            <w:rFonts w:ascii="Cambria Math" w:hAnsi="Cambria Math"/>
          </w:rPr>
          <m:t>,</m:t>
        </m:r>
        <m:r>
          <w:rPr>
            <w:rFonts w:ascii="Cambria Math" w:hAnsi="Cambria Math"/>
          </w:rPr>
          <m:t>k</m:t>
        </m:r>
        <m:r>
          <w:rPr>
            <w:rFonts w:ascii="Cambria Math" w:hAnsi="Cambria Math"/>
          </w:rPr>
          <m:t>)=440.</m:t>
        </m:r>
        <m:sSup>
          <m:sSupPr>
            <m:ctrlPr>
              <w:rPr>
                <w:rFonts w:ascii="Cambria Math" w:hAnsi="Cambria Math"/>
              </w:rPr>
            </m:ctrlPr>
          </m:sSupPr>
          <m:e>
            <m:r>
              <w:rPr>
                <w:rFonts w:ascii="Cambria Math" w:hAnsi="Cambria Math"/>
              </w:rPr>
              <m:t>2</m:t>
            </m:r>
          </m:e>
          <m:sup>
            <m:f>
              <m:fPr>
                <m:ctrlPr>
                  <w:rPr>
                    <w:rFonts w:ascii="Cambria Math" w:hAnsi="Cambria Math"/>
                  </w:rPr>
                </m:ctrlPr>
              </m:fPr>
              <m:num>
                <m:r>
                  <w:rPr>
                    <w:rFonts w:ascii="Cambria Math" w:hAnsi="Cambria Math"/>
                  </w:rPr>
                  <m:t>k</m:t>
                </m:r>
                <m:r>
                  <w:rPr>
                    <w:rFonts w:ascii="Cambria Math" w:hAnsi="Cambria Math"/>
                  </w:rPr>
                  <m:t>-</m:t>
                </m:r>
                <m:r>
                  <w:rPr>
                    <w:rFonts w:ascii="Cambria Math" w:hAnsi="Cambria Math"/>
                  </w:rPr>
                  <m:t>49</m:t>
                </m:r>
              </m:num>
              <m:den>
                <m:r>
                  <w:rPr>
                    <w:rFonts w:ascii="Cambria Math" w:hAnsi="Cambria Math"/>
                  </w:rPr>
                  <m:t>12</m:t>
                </m:r>
              </m:den>
            </m:f>
          </m:sup>
        </m:sSup>
        <m:r>
          <w:rPr>
            <w:rFonts w:ascii="Cambria Math" w:hAnsi="Cambria Math"/>
          </w:rPr>
          <m:t> </m:t>
        </m:r>
        <m:r>
          <w:rPr>
            <w:rFonts w:ascii="Cambria Math" w:hAnsi="Cambria Math"/>
          </w:rPr>
          <m:t>(</m:t>
        </m:r>
        <m:r>
          <w:rPr>
            <w:rFonts w:ascii="Cambria Math" w:hAnsi="Cambria Math"/>
          </w:rPr>
          <m:t>n</m:t>
        </m:r>
        <m:r>
          <w:rPr>
            <w:rFonts w:ascii="Cambria Math" w:hAnsi="Cambria Math"/>
          </w:rPr>
          <m:t>+1)</m:t>
        </m:r>
      </m:oMath>
      <w:r>
        <w:t xml:space="preserve"> while Fletcher (1964), for example, proposes an equation that relates the fundamental frequency of a piano note with its nth partial, incorporating the inharmonicity present in piano strings, we can see from (Koenig, 20</w:t>
      </w:r>
      <w:r>
        <w:t>14) that the inharmonicity coefficients per key aren’t, in general, well behaved. That’s also the case of partials’ amplitudes; neural networks are, thus, in a better position to extract hidden features and learn the underlying associations needed to repro</w:t>
      </w:r>
      <w:r>
        <w:t>duce and generalize those quantities.</w:t>
      </w:r>
    </w:p>
    <w:p w:rsidR="00A04DFD" w:rsidRDefault="004A3DF5">
      <w:pPr>
        <w:pStyle w:val="BodyText"/>
      </w:pPr>
      <w:r>
        <w:t>It is important to note that the spread of peak patterns in the frequency domain is proportional to the decay of a pure sinusoid: The extreme case of a perfectly periodic sinusoid, with zero decay, has a frequency spec</w:t>
      </w:r>
      <w:r>
        <w:t xml:space="preserve">trum of zero at all but one frequency. The figure </w:t>
      </w:r>
      <w:hyperlink w:anchor="fig:fourierDecay">
        <w:r>
          <w:rPr>
            <w:rStyle w:val="Hyperlink"/>
          </w:rPr>
          <w:t>3</w:t>
        </w:r>
      </w:hyperlink>
      <w:r>
        <w:t xml:space="preserve"> illustrates this relationship.</w:t>
      </w:r>
    </w:p>
    <w:p w:rsidR="00A04DFD" w:rsidRDefault="00A04DFD">
      <w:bookmarkStart w:id="5" w:name="fig:fourierDecay"/>
    </w:p>
    <w:p w:rsidR="00A04DFD" w:rsidRDefault="004A3DF5">
      <w:pPr>
        <w:pStyle w:val="CaptionedFigure"/>
      </w:pPr>
      <w:r>
        <w:rPr>
          <w:noProof/>
        </w:rPr>
        <w:lastRenderedPageBreak/>
        <w:drawing>
          <wp:inline distT="0" distB="0" distL="0" distR="0">
            <wp:extent cx="5334000" cy="2297238"/>
            <wp:effectExtent l="0" t="0" r="0" b="0"/>
            <wp:docPr id="3" name="Picture" descr="Figure 3: Time and frequency domain decay relationship: 440Hz sinusoid"/>
            <wp:cNvGraphicFramePr/>
            <a:graphic xmlns:a="http://schemas.openxmlformats.org/drawingml/2006/main">
              <a:graphicData uri="http://schemas.openxmlformats.org/drawingml/2006/picture">
                <pic:pic xmlns:pic="http://schemas.openxmlformats.org/drawingml/2006/picture">
                  <pic:nvPicPr>
                    <pic:cNvPr id="0" name="Picture" descr="images/fourierDecay.png"/>
                    <pic:cNvPicPr>
                      <a:picLocks noChangeAspect="1" noChangeArrowheads="1"/>
                    </pic:cNvPicPr>
                  </pic:nvPicPr>
                  <pic:blipFill>
                    <a:blip r:embed="rId9"/>
                    <a:stretch>
                      <a:fillRect/>
                    </a:stretch>
                  </pic:blipFill>
                  <pic:spPr bwMode="auto">
                    <a:xfrm>
                      <a:off x="0" y="0"/>
                      <a:ext cx="5334000" cy="2297238"/>
                    </a:xfrm>
                    <a:prstGeom prst="rect">
                      <a:avLst/>
                    </a:prstGeom>
                    <a:noFill/>
                    <a:ln w="9525">
                      <a:noFill/>
                      <a:headEnd/>
                      <a:tailEnd/>
                    </a:ln>
                  </pic:spPr>
                </pic:pic>
              </a:graphicData>
            </a:graphic>
          </wp:inline>
        </w:drawing>
      </w:r>
    </w:p>
    <w:p w:rsidR="00A04DFD" w:rsidRDefault="004A3DF5">
      <w:pPr>
        <w:pStyle w:val="ImageCaption"/>
      </w:pPr>
      <w:r>
        <w:t>Figure 3: Time and frequency domain decay relationship: 440Hz sinusoid</w:t>
      </w:r>
    </w:p>
    <w:bookmarkEnd w:id="5"/>
    <w:p w:rsidR="00A04DFD" w:rsidRDefault="004A3DF5">
      <w:pPr>
        <w:pStyle w:val="BodyText"/>
      </w:pPr>
      <w:r>
        <w:t>One can observe that the decay introduces new frequencies around the nominal frequency, in addition to phase changes in the frequency domain representation; it is empirically observed that the primordial effect of those frequencies and phases is to reprodu</w:t>
      </w:r>
      <w:r>
        <w:t>ce the decay (or, more broadly, envelope) of the wave.</w:t>
      </w:r>
    </w:p>
    <w:p w:rsidR="00A04DFD" w:rsidRDefault="004A3DF5">
      <w:pPr>
        <w:pStyle w:val="BodyText"/>
      </w:pPr>
      <w:r>
        <w:t>From this observation, two important intuitions can be drawn: The first is that, with a reasonable degree of approximation, we can describe a harmonic sound generated by an impulsive excitation as a function of the location of some of its frequencies, thei</w:t>
      </w:r>
      <w:r>
        <w:t>r respective intensities, and their decays.</w:t>
      </w:r>
    </w:p>
    <w:p w:rsidR="00A04DFD" w:rsidRDefault="004A3DF5">
      <w:pPr>
        <w:pStyle w:val="BodyText"/>
      </w:pPr>
      <w:r>
        <w:t>It is natural to also assume that the perceptual influence of the phases of these waves can be largely ignored, which is suggested empirically from the reconstruction of waves with their original phases zeroed or</w:t>
      </w:r>
      <w:r>
        <w:t xml:space="preserve"> randomized.</w:t>
      </w:r>
    </w:p>
    <w:p w:rsidR="00A04DFD" w:rsidRDefault="004A3DF5">
      <w:pPr>
        <w:pStyle w:val="BodyText"/>
      </w:pPr>
      <w:r>
        <w:t xml:space="preserve">In the Github repository (Tesserato, 2018), on the path “resources/05 Final Model/03_waves_from_01_info/piano/” reconstructed waves can be found, where phase information was randomized for the 100 partial frequencies. They are reconstructions </w:t>
      </w:r>
      <w:r>
        <w:t>of the samples used to train the network, available at resources/05 Final Model/00_samples/piano/.</w:t>
      </w:r>
    </w:p>
    <w:p w:rsidR="00A04DFD" w:rsidRDefault="004A3DF5">
      <w:pPr>
        <w:pStyle w:val="BodyText"/>
      </w:pPr>
      <w:r>
        <w:t>Comparing the samples, one can see that the reproduction is quite plausible. Most of the perceptual difference between them originates in the number of parti</w:t>
      </w:r>
      <w:r>
        <w:t>als considered, which does not include all the frequencies present in the transient phase of the wave in the lowest keys.</w:t>
      </w:r>
    </w:p>
    <w:p w:rsidR="00A04DFD" w:rsidRDefault="004A3DF5">
      <w:pPr>
        <w:pStyle w:val="BodyText"/>
      </w:pPr>
      <w:r>
        <w:t xml:space="preserve">Noting, as we have, that harmonic instruments have a well-behaved frequency distribution, consisting basically of some peaks in their </w:t>
      </w:r>
      <w:r>
        <w:t xml:space="preserve">frequency domain representation, and assuming exponential decays of the form </w:t>
      </w:r>
      <m:oMath>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dt</m:t>
            </m:r>
          </m:sup>
        </m:sSup>
      </m:oMath>
      <w:r>
        <w:t xml:space="preserve">, with one value of </w:t>
      </w:r>
      <m:oMath>
        <m:r>
          <w:rPr>
            <w:rFonts w:ascii="Cambria Math" w:hAnsi="Cambria Math"/>
          </w:rPr>
          <m:t>d</m:t>
        </m:r>
      </m:oMath>
      <w:r>
        <w:t xml:space="preserve"> per partial and per key, one can elegantly account for the envelope of each one of the partials with knowledge of that partial’s amplitude </w:t>
      </w:r>
      <m:oMath>
        <m:r>
          <w:rPr>
            <w:rFonts w:ascii="Cambria Math" w:hAnsi="Cambria Math"/>
          </w:rPr>
          <m:t>a</m:t>
        </m:r>
      </m:oMath>
      <w:r>
        <w:t xml:space="preserve"> and dec</w:t>
      </w:r>
      <w:r>
        <w:t xml:space="preserve">ay rate </w:t>
      </w:r>
      <m:oMath>
        <m:r>
          <w:rPr>
            <w:rFonts w:ascii="Cambria Math" w:hAnsi="Cambria Math"/>
          </w:rPr>
          <m:t>d</m:t>
        </m:r>
      </m:oMath>
      <w:r>
        <w:t>.</w:t>
      </w:r>
    </w:p>
    <w:p w:rsidR="00A04DFD" w:rsidRDefault="004A3DF5">
      <w:pPr>
        <w:pStyle w:val="Heading1"/>
      </w:pPr>
      <w:bookmarkStart w:id="6" w:name="methods"/>
      <w:r>
        <w:lastRenderedPageBreak/>
        <w:t>Methods</w:t>
      </w:r>
      <w:bookmarkEnd w:id="6"/>
    </w:p>
    <w:p w:rsidR="00A04DFD" w:rsidRDefault="004A3DF5">
      <w:pPr>
        <w:pStyle w:val="FirstParagraph"/>
      </w:pPr>
      <w:r>
        <w:t xml:space="preserve">based on the discussion presented in the introduction, a neural network was created, using the Keras library on top of the Tensorflow backend. The architecture can be seen in figure </w:t>
      </w:r>
      <w:hyperlink w:anchor="fig:architecture">
        <w:r>
          <w:rPr>
            <w:rStyle w:val="Hyperlink"/>
          </w:rPr>
          <w:t>4</w:t>
        </w:r>
      </w:hyperlink>
      <w:r>
        <w:t>. Receiving as</w:t>
      </w:r>
      <w:r>
        <w:t xml:space="preserve"> inputs a array of the form </w:t>
      </w:r>
      <m:oMath>
        <m:r>
          <w:rPr>
            <w:rFonts w:ascii="Cambria Math" w:hAnsi="Cambria Math"/>
          </w:rPr>
          <m:t>[</m:t>
        </m:r>
        <m:r>
          <w:rPr>
            <w:rFonts w:ascii="Cambria Math" w:hAnsi="Cambria Math"/>
          </w:rPr>
          <m:t>k</m:t>
        </m:r>
        <m:r>
          <w:rPr>
            <w:rFonts w:ascii="Cambria Math" w:hAnsi="Cambria Math"/>
          </w:rPr>
          <m:t>,</m:t>
        </m:r>
        <m:r>
          <w:rPr>
            <w:rFonts w:ascii="Cambria Math" w:hAnsi="Cambria Math"/>
          </w:rPr>
          <m:t>p</m:t>
        </m:r>
        <m:r>
          <w:rPr>
            <w:rFonts w:ascii="Cambria Math" w:hAnsi="Cambria Math"/>
          </w:rPr>
          <m:t>]</m:t>
        </m:r>
      </m:oMath>
      <w:r>
        <w:t xml:space="preserve"> where </w:t>
      </w:r>
      <m:oMath>
        <m:r>
          <w:rPr>
            <w:rFonts w:ascii="Cambria Math" w:hAnsi="Cambria Math"/>
          </w:rPr>
          <m:t>k</m:t>
        </m:r>
      </m:oMath>
      <w:r>
        <w:t xml:space="preserve"> is the normalized piano key, in the range of 1 to 88, and </w:t>
      </w:r>
      <m:oMath>
        <m:r>
          <w:rPr>
            <w:rFonts w:ascii="Cambria Math" w:hAnsi="Cambria Math"/>
          </w:rPr>
          <m:t>p</m:t>
        </m:r>
      </m:oMath>
      <w:r>
        <w:t xml:space="preserve"> is the normalized partial frequency of interest, from 1 to 100, the network was trained to output, in parallel, the residual inharmonicity, the decay </w:t>
      </w:r>
      <w:r>
        <w:t>and the amplitude of each key-partial pair.</w:t>
      </w:r>
    </w:p>
    <w:p w:rsidR="00A04DFD" w:rsidRDefault="00A04DFD">
      <w:bookmarkStart w:id="7" w:name="fig:architecture"/>
    </w:p>
    <w:p w:rsidR="00A04DFD" w:rsidRDefault="004A3DF5">
      <w:pPr>
        <w:pStyle w:val="CaptionedFigure"/>
      </w:pPr>
      <w:r>
        <w:rPr>
          <w:noProof/>
        </w:rPr>
        <w:drawing>
          <wp:inline distT="0" distB="0" distL="0" distR="0">
            <wp:extent cx="5334000" cy="3125624"/>
            <wp:effectExtent l="0" t="0" r="0" b="0"/>
            <wp:docPr id="4" name="Picture" descr="Figure 4: Time and frequency domain decay relationship: 440Hz sinusoid"/>
            <wp:cNvGraphicFramePr/>
            <a:graphic xmlns:a="http://schemas.openxmlformats.org/drawingml/2006/main">
              <a:graphicData uri="http://schemas.openxmlformats.org/drawingml/2006/picture">
                <pic:pic xmlns:pic="http://schemas.openxmlformats.org/drawingml/2006/picture">
                  <pic:nvPicPr>
                    <pic:cNvPr id="0" name="Picture" descr="images/architecture.png"/>
                    <pic:cNvPicPr>
                      <a:picLocks noChangeAspect="1" noChangeArrowheads="1"/>
                    </pic:cNvPicPr>
                  </pic:nvPicPr>
                  <pic:blipFill>
                    <a:blip r:embed="rId10"/>
                    <a:stretch>
                      <a:fillRect/>
                    </a:stretch>
                  </pic:blipFill>
                  <pic:spPr bwMode="auto">
                    <a:xfrm>
                      <a:off x="0" y="0"/>
                      <a:ext cx="5334000" cy="3125624"/>
                    </a:xfrm>
                    <a:prstGeom prst="rect">
                      <a:avLst/>
                    </a:prstGeom>
                    <a:noFill/>
                    <a:ln w="9525">
                      <a:noFill/>
                      <a:headEnd/>
                      <a:tailEnd/>
                    </a:ln>
                  </pic:spPr>
                </pic:pic>
              </a:graphicData>
            </a:graphic>
          </wp:inline>
        </w:drawing>
      </w:r>
    </w:p>
    <w:p w:rsidR="00A04DFD" w:rsidRDefault="004A3DF5">
      <w:pPr>
        <w:pStyle w:val="ImageCaption"/>
      </w:pPr>
      <w:r>
        <w:t>Figure 4: Time and frequency domain decay relationship: 440Hz sinusoid</w:t>
      </w:r>
    </w:p>
    <w:bookmarkEnd w:id="7"/>
    <w:p w:rsidR="00A04DFD" w:rsidRDefault="004A3DF5">
      <w:pPr>
        <w:pStyle w:val="BodyText"/>
      </w:pPr>
      <w:r>
        <w:t>The sound samples used to train the model are available at the website of the University of Iowa Electronic Music Studios (“Musical Instru</w:t>
      </w:r>
      <w:r>
        <w:t>ment Samples”, [s.d.]). The library consists of a total of 260 samples recorded from a Steinway &amp; Sons model B Grad Piano with a Neumann KM 84 microphone, and are encoded in stereo .aiff files, 16-bit, 44.1 kHz.</w:t>
      </w:r>
    </w:p>
    <w:p w:rsidR="00A04DFD" w:rsidRDefault="004A3DF5">
      <w:pPr>
        <w:pStyle w:val="BodyText"/>
      </w:pPr>
      <w:r>
        <w:t>From this sample library, we made use of the</w:t>
      </w:r>
      <w:r>
        <w:t xml:space="preserve"> 88 fortissimo articulations. Those were converted to mono .wav files with the same bitrate and framerate as the original .aiff. Silences in the beginning of the files were truncated and the files were normalized.</w:t>
      </w:r>
    </w:p>
    <w:p w:rsidR="00A04DFD" w:rsidRDefault="004A3DF5">
      <w:pPr>
        <w:pStyle w:val="BodyText"/>
      </w:pPr>
      <w:r>
        <w:t>Bearing in mind that the partial frequenci</w:t>
      </w:r>
      <w:r>
        <w:t xml:space="preserve">es are approximately integer multiples of each key fundamental frequency one can search for the maximums in the frequency domain considering the appropriate intervals. Figure </w:t>
      </w:r>
      <w:hyperlink w:anchor="fig:peaks">
        <w:r>
          <w:rPr>
            <w:rStyle w:val="Hyperlink"/>
          </w:rPr>
          <w:t>5</w:t>
        </w:r>
      </w:hyperlink>
      <w:r>
        <w:t xml:space="preserve"> compares this algorithm with the simple enumera</w:t>
      </w:r>
      <w:r>
        <w:t>tion of the highest values of intensity, for a wave corresponds to the sound emitted by the key 35 of a piano, from which the first 30 partial frequencies are investigated.</w:t>
      </w:r>
    </w:p>
    <w:p w:rsidR="00A04DFD" w:rsidRDefault="00A04DFD">
      <w:bookmarkStart w:id="8" w:name="fig:peaks"/>
    </w:p>
    <w:p w:rsidR="00A04DFD" w:rsidRDefault="004A3DF5">
      <w:pPr>
        <w:pStyle w:val="CaptionedFigure"/>
      </w:pPr>
      <w:r>
        <w:rPr>
          <w:noProof/>
        </w:rPr>
        <w:drawing>
          <wp:inline distT="0" distB="0" distL="0" distR="0">
            <wp:extent cx="5334000" cy="1066800"/>
            <wp:effectExtent l="0" t="0" r="0" b="0"/>
            <wp:docPr id="5" name="Picture" descr="Figure 5: Partials peaks(red dot) x Maximum Values (black “x”)"/>
            <wp:cNvGraphicFramePr/>
            <a:graphic xmlns:a="http://schemas.openxmlformats.org/drawingml/2006/main">
              <a:graphicData uri="http://schemas.openxmlformats.org/drawingml/2006/picture">
                <pic:pic xmlns:pic="http://schemas.openxmlformats.org/drawingml/2006/picture">
                  <pic:nvPicPr>
                    <pic:cNvPr id="0" name="Picture" descr="images/peaks.png"/>
                    <pic:cNvPicPr>
                      <a:picLocks noChangeAspect="1" noChangeArrowheads="1"/>
                    </pic:cNvPicPr>
                  </pic:nvPicPr>
                  <pic:blipFill>
                    <a:blip r:embed="rId11"/>
                    <a:stretch>
                      <a:fillRect/>
                    </a:stretch>
                  </pic:blipFill>
                  <pic:spPr bwMode="auto">
                    <a:xfrm>
                      <a:off x="0" y="0"/>
                      <a:ext cx="5334000" cy="1066800"/>
                    </a:xfrm>
                    <a:prstGeom prst="rect">
                      <a:avLst/>
                    </a:prstGeom>
                    <a:noFill/>
                    <a:ln w="9525">
                      <a:noFill/>
                      <a:headEnd/>
                      <a:tailEnd/>
                    </a:ln>
                  </pic:spPr>
                </pic:pic>
              </a:graphicData>
            </a:graphic>
          </wp:inline>
        </w:drawing>
      </w:r>
    </w:p>
    <w:p w:rsidR="00A04DFD" w:rsidRDefault="004A3DF5">
      <w:pPr>
        <w:pStyle w:val="ImageCaption"/>
      </w:pPr>
      <w:r>
        <w:t>Figure 5: Partials peaks(red dot) x Maximum Values (black “x”)</w:t>
      </w:r>
    </w:p>
    <w:bookmarkEnd w:id="8"/>
    <w:p w:rsidR="00A04DFD" w:rsidRDefault="004A3DF5">
      <w:pPr>
        <w:pStyle w:val="BodyText"/>
      </w:pPr>
      <w:r>
        <w:t xml:space="preserve">Figure </w:t>
      </w:r>
      <w:hyperlink w:anchor="fig:stretch">
        <w:r>
          <w:rPr>
            <w:rStyle w:val="Hyperlink"/>
          </w:rPr>
          <w:t>6</w:t>
        </w:r>
      </w:hyperlink>
      <w:r>
        <w:t>, offers insight into the original tuning of the piano from wich the samples were recorded from; a polynomial of rank 3 offers a good compromise between simplicity and accuracy in the approximation of the stretched tuning.</w:t>
      </w:r>
    </w:p>
    <w:p w:rsidR="00A04DFD" w:rsidRDefault="004A3DF5">
      <w:pPr>
        <w:pStyle w:val="BodyText"/>
      </w:pPr>
      <w:r>
        <w:t>We can i</w:t>
      </w:r>
      <w:r>
        <w:t xml:space="preserve">mprove the theoretical fundamental frequencies </w:t>
      </w:r>
      <m:oMath>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rPr>
          <m:t>k</m:t>
        </m:r>
        <m:r>
          <w:rPr>
            <w:rFonts w:ascii="Cambria Math" w:hAnsi="Cambria Math"/>
          </w:rPr>
          <m:t>)=440.</m:t>
        </m:r>
        <m:sSup>
          <m:sSupPr>
            <m:ctrlPr>
              <w:rPr>
                <w:rFonts w:ascii="Cambria Math" w:hAnsi="Cambria Math"/>
              </w:rPr>
            </m:ctrlPr>
          </m:sSupPr>
          <m:e>
            <m:r>
              <w:rPr>
                <w:rFonts w:ascii="Cambria Math" w:hAnsi="Cambria Math"/>
              </w:rPr>
              <m:t>2</m:t>
            </m:r>
          </m:e>
          <m:sup>
            <m:f>
              <m:fPr>
                <m:ctrlPr>
                  <w:rPr>
                    <w:rFonts w:ascii="Cambria Math" w:hAnsi="Cambria Math"/>
                  </w:rPr>
                </m:ctrlPr>
              </m:fPr>
              <m:num>
                <m:r>
                  <w:rPr>
                    <w:rFonts w:ascii="Cambria Math" w:hAnsi="Cambria Math"/>
                  </w:rPr>
                  <m:t>k</m:t>
                </m:r>
                <m:r>
                  <w:rPr>
                    <w:rFonts w:ascii="Cambria Math" w:hAnsi="Cambria Math"/>
                  </w:rPr>
                  <m:t>-</m:t>
                </m:r>
                <m:r>
                  <w:rPr>
                    <w:rFonts w:ascii="Cambria Math" w:hAnsi="Cambria Math"/>
                  </w:rPr>
                  <m:t>49</m:t>
                </m:r>
              </m:num>
              <m:den>
                <m:r>
                  <w:rPr>
                    <w:rFonts w:ascii="Cambria Math" w:hAnsi="Cambria Math"/>
                  </w:rPr>
                  <m:t>12</m:t>
                </m:r>
              </m:den>
            </m:f>
          </m:sup>
        </m:sSup>
      </m:oMath>
      <w:r>
        <w:t xml:space="preserve"> with a term accounting for the octave stretching; As it was seen, this original equation disregards the inharmonicities present in the instruments, responsible for important characteristic</w:t>
      </w:r>
      <w:r>
        <w:t>s of their timbres.</w:t>
      </w:r>
    </w:p>
    <w:p w:rsidR="00A04DFD" w:rsidRDefault="004A3DF5">
      <w:pPr>
        <w:pStyle w:val="BodyText"/>
      </w:pPr>
      <w:r>
        <w:t>Nevertheless, it presents a very reasonable initial approximation that serves both to reinforce the basic harmonic characteristics in the final model and to alleviate the prediction effort of the network, insofar as we can add an inharm</w:t>
      </w:r>
      <w:r>
        <w:t>onicity term in the above equation to be learned by the network.</w:t>
      </w:r>
    </w:p>
    <w:p w:rsidR="00A04DFD" w:rsidRDefault="004A3DF5">
      <w:pPr>
        <w:pStyle w:val="BodyText"/>
      </w:pPr>
      <w:r>
        <w:t xml:space="preserve">We can then write </w:t>
      </w:r>
      <m:oMath>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rPr>
          <m:t>k</m:t>
        </m:r>
        <m:r>
          <w:rPr>
            <w:rFonts w:ascii="Cambria Math" w:hAnsi="Cambria Math"/>
          </w:rPr>
          <m:t>]</m:t>
        </m:r>
      </m:oMath>
      <w:r>
        <w:t xml:space="preserve"> as </w:t>
      </w:r>
      <m:oMath>
        <m:r>
          <w:rPr>
            <w:rFonts w:ascii="Cambria Math" w:hAnsi="Cambria Math"/>
          </w:rPr>
          <m:t>440.</m:t>
        </m:r>
        <m:sSup>
          <m:sSupPr>
            <m:ctrlPr>
              <w:rPr>
                <w:rFonts w:ascii="Cambria Math" w:hAnsi="Cambria Math"/>
              </w:rPr>
            </m:ctrlPr>
          </m:sSupPr>
          <m:e>
            <m:r>
              <w:rPr>
                <w:rFonts w:ascii="Cambria Math" w:hAnsi="Cambria Math"/>
              </w:rPr>
              <m:t>2</m:t>
            </m:r>
          </m:e>
          <m:sup>
            <m:f>
              <m:fPr>
                <m:ctrlPr>
                  <w:rPr>
                    <w:rFonts w:ascii="Cambria Math" w:hAnsi="Cambria Math"/>
                  </w:rPr>
                </m:ctrlPr>
              </m:fPr>
              <m:num>
                <m:r>
                  <w:rPr>
                    <w:rFonts w:ascii="Cambria Math" w:hAnsi="Cambria Math"/>
                  </w:rPr>
                  <m:t>k</m:t>
                </m:r>
                <m:r>
                  <w:rPr>
                    <w:rFonts w:ascii="Cambria Math" w:hAnsi="Cambria Math"/>
                  </w:rPr>
                  <m:t>-</m:t>
                </m:r>
                <m:r>
                  <w:rPr>
                    <w:rFonts w:ascii="Cambria Math" w:hAnsi="Cambria Math"/>
                  </w:rPr>
                  <m:t>49</m:t>
                </m:r>
              </m:num>
              <m:den>
                <m:r>
                  <w:rPr>
                    <w:rFonts w:ascii="Cambria Math" w:hAnsi="Cambria Math"/>
                  </w:rPr>
                  <m:t>12</m:t>
                </m:r>
              </m:den>
            </m:f>
          </m:sup>
        </m:s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sSup>
          <m:sSupPr>
            <m:ctrlPr>
              <w:rPr>
                <w:rFonts w:ascii="Cambria Math" w:hAnsi="Cambria Math"/>
              </w:rPr>
            </m:ctrlPr>
          </m:sSupPr>
          <m:e>
            <m:r>
              <w:rPr>
                <w:rFonts w:ascii="Cambria Math" w:hAnsi="Cambria Math"/>
              </w:rPr>
              <m:t>k</m:t>
            </m:r>
          </m:e>
          <m:sup>
            <m:r>
              <w:rPr>
                <w:rFonts w:ascii="Cambria Math" w:hAnsi="Cambria Math"/>
              </w:rPr>
              <m:t>3</m:t>
            </m:r>
          </m:sup>
        </m:s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sSup>
          <m:sSupPr>
            <m:ctrlPr>
              <w:rPr>
                <w:rFonts w:ascii="Cambria Math" w:hAnsi="Cambria Math"/>
              </w:rPr>
            </m:ctrlPr>
          </m:sSupPr>
          <m:e>
            <m:r>
              <w:rPr>
                <w:rFonts w:ascii="Cambria Math" w:hAnsi="Cambria Math"/>
              </w:rPr>
              <m:t>k</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r>
          <w:rPr>
            <w:rFonts w:ascii="Cambria Math" w:hAnsi="Cambria Math"/>
          </w:rPr>
          <m:t>k</m:t>
        </m:r>
        <m:r>
          <w:rPr>
            <w:rFonts w:ascii="Cambria Math" w:hAnsi="Cambria Math"/>
          </w:rPr>
          <m:t>)</m:t>
        </m:r>
      </m:oMath>
      <w:r>
        <w:t xml:space="preserve">. The effort is justified by the fact that improvements in </w:t>
      </w:r>
      <m:oMath>
        <m:sSub>
          <m:sSubPr>
            <m:ctrlPr>
              <w:rPr>
                <w:rFonts w:ascii="Cambria Math" w:hAnsi="Cambria Math"/>
              </w:rPr>
            </m:ctrlPr>
          </m:sSubPr>
          <m:e>
            <m:r>
              <w:rPr>
                <w:rFonts w:ascii="Cambria Math" w:hAnsi="Cambria Math"/>
              </w:rPr>
              <m:t>f</m:t>
            </m:r>
          </m:e>
          <m:sub>
            <m:r>
              <w:rPr>
                <w:rFonts w:ascii="Cambria Math" w:hAnsi="Cambria Math"/>
              </w:rPr>
              <m:t>0</m:t>
            </m:r>
          </m:sub>
        </m:sSub>
      </m:oMath>
      <w:r>
        <w:t xml:space="preserve"> are carried to all the theoretical partial frequencies, as they ar</w:t>
      </w:r>
      <w:r>
        <w:t xml:space="preserve">e multiples of </w:t>
      </w:r>
      <m:oMath>
        <m:sSub>
          <m:sSubPr>
            <m:ctrlPr>
              <w:rPr>
                <w:rFonts w:ascii="Cambria Math" w:hAnsi="Cambria Math"/>
              </w:rPr>
            </m:ctrlPr>
          </m:sSubPr>
          <m:e>
            <m:r>
              <w:rPr>
                <w:rFonts w:ascii="Cambria Math" w:hAnsi="Cambria Math"/>
              </w:rPr>
              <m:t>f</m:t>
            </m:r>
          </m:e>
          <m:sub>
            <m:r>
              <w:rPr>
                <w:rFonts w:ascii="Cambria Math" w:hAnsi="Cambria Math"/>
              </w:rPr>
              <m:t>0</m:t>
            </m:r>
          </m:sub>
        </m:sSub>
      </m:oMath>
      <w:r>
        <w:t>, greatly simplifying the neural architecture needed in the model.</w:t>
      </w:r>
    </w:p>
    <w:p w:rsidR="00A04DFD" w:rsidRDefault="00A04DFD">
      <w:bookmarkStart w:id="9" w:name="fig:stretch"/>
    </w:p>
    <w:p w:rsidR="00A04DFD" w:rsidRDefault="004A3DF5">
      <w:pPr>
        <w:pStyle w:val="CaptionedFigure"/>
      </w:pPr>
      <w:r>
        <w:rPr>
          <w:noProof/>
        </w:rPr>
        <w:drawing>
          <wp:inline distT="0" distB="0" distL="0" distR="0">
            <wp:extent cx="5334000" cy="2546864"/>
            <wp:effectExtent l="0" t="0" r="0" b="0"/>
            <wp:docPr id="6" name="Picture" descr="Figure 6: Comparison:Tempered x Streched tuning"/>
            <wp:cNvGraphicFramePr/>
            <a:graphic xmlns:a="http://schemas.openxmlformats.org/drawingml/2006/main">
              <a:graphicData uri="http://schemas.openxmlformats.org/drawingml/2006/picture">
                <pic:pic xmlns:pic="http://schemas.openxmlformats.org/drawingml/2006/picture">
                  <pic:nvPicPr>
                    <pic:cNvPr id="0" name="Picture" descr="images/stretch.png"/>
                    <pic:cNvPicPr>
                      <a:picLocks noChangeAspect="1" noChangeArrowheads="1"/>
                    </pic:cNvPicPr>
                  </pic:nvPicPr>
                  <pic:blipFill>
                    <a:blip r:embed="rId12"/>
                    <a:stretch>
                      <a:fillRect/>
                    </a:stretch>
                  </pic:blipFill>
                  <pic:spPr bwMode="auto">
                    <a:xfrm>
                      <a:off x="0" y="0"/>
                      <a:ext cx="5334000" cy="2546864"/>
                    </a:xfrm>
                    <a:prstGeom prst="rect">
                      <a:avLst/>
                    </a:prstGeom>
                    <a:noFill/>
                    <a:ln w="9525">
                      <a:noFill/>
                      <a:headEnd/>
                      <a:tailEnd/>
                    </a:ln>
                  </pic:spPr>
                </pic:pic>
              </a:graphicData>
            </a:graphic>
          </wp:inline>
        </w:drawing>
      </w:r>
    </w:p>
    <w:p w:rsidR="00A04DFD" w:rsidRDefault="004A3DF5">
      <w:pPr>
        <w:pStyle w:val="ImageCaption"/>
      </w:pPr>
      <w:r>
        <w:t>Figure 6: Comparison:Tempered x Streched tuning</w:t>
      </w:r>
    </w:p>
    <w:bookmarkEnd w:id="9"/>
    <w:p w:rsidR="00A04DFD" w:rsidRDefault="004A3DF5">
      <w:pPr>
        <w:pStyle w:val="BodyText"/>
      </w:pPr>
      <w:r>
        <w:lastRenderedPageBreak/>
        <w:t>Thus, an arbitrary theoretical frequency, as a function of the piano key and the partial considered, can be expressed as</w:t>
      </w:r>
      <w:r>
        <w:t xml:space="preserve"> as follows: </w:t>
      </w:r>
      <m:oMath>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rPr>
          <m:t>k</m:t>
        </m:r>
        <m:r>
          <w:rPr>
            <w:rFonts w:ascii="Cambria Math" w:hAnsi="Cambria Math"/>
          </w:rPr>
          <m:t>,</m:t>
        </m:r>
        <m:r>
          <w:rPr>
            <w:rFonts w:ascii="Cambria Math" w:hAnsi="Cambria Math"/>
          </w:rPr>
          <m:t>p</m:t>
        </m:r>
        <m:r>
          <w:rPr>
            <w:rFonts w:ascii="Cambria Math" w:hAnsi="Cambria Math"/>
          </w:rPr>
          <m:t>]=440.</m:t>
        </m:r>
        <m:sSup>
          <m:sSupPr>
            <m:ctrlPr>
              <w:rPr>
                <w:rFonts w:ascii="Cambria Math" w:hAnsi="Cambria Math"/>
              </w:rPr>
            </m:ctrlPr>
          </m:sSupPr>
          <m:e>
            <m:r>
              <w:rPr>
                <w:rFonts w:ascii="Cambria Math" w:hAnsi="Cambria Math"/>
              </w:rPr>
              <m:t>2</m:t>
            </m:r>
          </m:e>
          <m:sup>
            <m:f>
              <m:fPr>
                <m:ctrlPr>
                  <w:rPr>
                    <w:rFonts w:ascii="Cambria Math" w:hAnsi="Cambria Math"/>
                  </w:rPr>
                </m:ctrlPr>
              </m:fPr>
              <m:num>
                <m:r>
                  <w:rPr>
                    <w:rFonts w:ascii="Cambria Math" w:hAnsi="Cambria Math"/>
                  </w:rPr>
                  <m:t>k</m:t>
                </m:r>
                <m:r>
                  <w:rPr>
                    <w:rFonts w:ascii="Cambria Math" w:hAnsi="Cambria Math"/>
                  </w:rPr>
                  <m:t>-</m:t>
                </m:r>
                <m:r>
                  <w:rPr>
                    <w:rFonts w:ascii="Cambria Math" w:hAnsi="Cambria Math"/>
                  </w:rPr>
                  <m:t>49</m:t>
                </m:r>
              </m:num>
              <m:den>
                <m:r>
                  <w:rPr>
                    <w:rFonts w:ascii="Cambria Math" w:hAnsi="Cambria Math"/>
                  </w:rPr>
                  <m:t>12</m:t>
                </m:r>
              </m:den>
            </m:f>
          </m:sup>
        </m:s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sSup>
          <m:sSupPr>
            <m:ctrlPr>
              <w:rPr>
                <w:rFonts w:ascii="Cambria Math" w:hAnsi="Cambria Math"/>
              </w:rPr>
            </m:ctrlPr>
          </m:sSupPr>
          <m:e>
            <m:r>
              <w:rPr>
                <w:rFonts w:ascii="Cambria Math" w:hAnsi="Cambria Math"/>
              </w:rPr>
              <m:t>k</m:t>
            </m:r>
          </m:e>
          <m:sup>
            <m:r>
              <w:rPr>
                <w:rFonts w:ascii="Cambria Math" w:hAnsi="Cambria Math"/>
              </w:rPr>
              <m:t>3</m:t>
            </m:r>
          </m:sup>
        </m:s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sSup>
          <m:sSupPr>
            <m:ctrlPr>
              <w:rPr>
                <w:rFonts w:ascii="Cambria Math" w:hAnsi="Cambria Math"/>
              </w:rPr>
            </m:ctrlPr>
          </m:sSupPr>
          <m:e>
            <m:r>
              <w:rPr>
                <w:rFonts w:ascii="Cambria Math" w:hAnsi="Cambria Math"/>
              </w:rPr>
              <m:t>k</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r>
          <w:rPr>
            <w:rFonts w:ascii="Cambria Math" w:hAnsi="Cambria Math"/>
          </w:rPr>
          <m:t>k</m:t>
        </m:r>
        <m:r>
          <w:rPr>
            <w:rFonts w:ascii="Cambria Math" w:hAnsi="Cambria Math"/>
          </w:rPr>
          <m:t>)(</m:t>
        </m:r>
        <m:r>
          <w:rPr>
            <w:rFonts w:ascii="Cambria Math" w:hAnsi="Cambria Math"/>
          </w:rPr>
          <m:t>p</m:t>
        </m:r>
        <m:r>
          <w:rPr>
            <w:rFonts w:ascii="Cambria Math" w:hAnsi="Cambria Math"/>
          </w:rPr>
          <m:t>+1)</m:t>
        </m:r>
        <m:r>
          <w:rPr>
            <w:rFonts w:ascii="Cambria Math" w:hAnsi="Cambria Math"/>
          </w:rPr>
          <m:t>i</m:t>
        </m:r>
        <m:r>
          <w:rPr>
            <w:rFonts w:ascii="Cambria Math" w:hAnsi="Cambria Math"/>
          </w:rPr>
          <m:t>[</m:t>
        </m:r>
        <m:r>
          <w:rPr>
            <w:rFonts w:ascii="Cambria Math" w:hAnsi="Cambria Math"/>
          </w:rPr>
          <m:t>k</m:t>
        </m:r>
        <m:r>
          <w:rPr>
            <w:rFonts w:ascii="Cambria Math" w:hAnsi="Cambria Math"/>
          </w:rPr>
          <m:t>,</m:t>
        </m:r>
        <m:r>
          <w:rPr>
            <w:rFonts w:ascii="Cambria Math" w:hAnsi="Cambria Math"/>
          </w:rPr>
          <m:t>p</m:t>
        </m:r>
        <m:r>
          <w:rPr>
            <w:rFonts w:ascii="Cambria Math" w:hAnsi="Cambria Math"/>
          </w:rPr>
          <m:t>],</m:t>
        </m:r>
        <m:r>
          <w:rPr>
            <w:rFonts w:ascii="Cambria Math" w:hAnsi="Cambria Math"/>
          </w:rPr>
          <m:t>k</m:t>
        </m:r>
        <m:r>
          <w:rPr>
            <w:rFonts w:ascii="Cambria Math" w:hAnsi="Cambria Math"/>
          </w:rPr>
          <m:t>∈1,2,...,88,</m:t>
        </m:r>
        <m:r>
          <w:rPr>
            <w:rFonts w:ascii="Cambria Math" w:hAnsi="Cambria Math"/>
          </w:rPr>
          <m:t>p</m:t>
        </m:r>
        <m:r>
          <w:rPr>
            <w:rFonts w:ascii="Cambria Math" w:hAnsi="Cambria Math"/>
          </w:rPr>
          <m:t>∈{0,1,2,...}</m:t>
        </m:r>
      </m:oMath>
      <w:r>
        <w:t xml:space="preserve">, where </w:t>
      </w:r>
      <m:oMath>
        <m:r>
          <w:rPr>
            <w:rFonts w:ascii="Cambria Math" w:hAnsi="Cambria Math"/>
          </w:rPr>
          <m:t>i</m:t>
        </m:r>
        <m:r>
          <w:rPr>
            <w:rFonts w:ascii="Cambria Math" w:hAnsi="Cambria Math"/>
          </w:rPr>
          <m:t>[</m:t>
        </m:r>
        <m:r>
          <w:rPr>
            <w:rFonts w:ascii="Cambria Math" w:hAnsi="Cambria Math"/>
          </w:rPr>
          <m:t>k</m:t>
        </m:r>
        <m:r>
          <w:rPr>
            <w:rFonts w:ascii="Cambria Math" w:hAnsi="Cambria Math"/>
          </w:rPr>
          <m:t>,</m:t>
        </m:r>
        <m:r>
          <w:rPr>
            <w:rFonts w:ascii="Cambria Math" w:hAnsi="Cambria Math"/>
          </w:rPr>
          <m:t>p</m:t>
        </m:r>
        <m:r>
          <w:rPr>
            <w:rFonts w:ascii="Cambria Math" w:hAnsi="Cambria Math"/>
          </w:rPr>
          <m:t>]</m:t>
        </m:r>
      </m:oMath>
      <w:r>
        <w:t xml:space="preserve"> is the inharmonicity as given by the network.</w:t>
      </w:r>
    </w:p>
    <w:p w:rsidR="00A04DFD" w:rsidRDefault="004A3DF5">
      <w:pPr>
        <w:pStyle w:val="BodyText"/>
      </w:pPr>
      <w:r>
        <w:t>Despite being formulated and used in this work to learn an grand piano, this framework is convenient for a wide range of instruments, since these 88 keys range from A0 to C8, covering the frequency spectrum of most instruments of interest; To train the net</w:t>
      </w:r>
      <w:r>
        <w:t>work from any instrument, one has simply to label the samples of the relevant sounds with the equivalent key number of a piano.</w:t>
      </w:r>
    </w:p>
    <w:p w:rsidR="00A04DFD" w:rsidRDefault="004A3DF5">
      <w:pPr>
        <w:pStyle w:val="BodyText"/>
      </w:pPr>
      <w:r>
        <w:t>Considering both fundamental and partial frequencies in the audible spectrum, the model would have to learn a range of frequenci</w:t>
      </w:r>
      <w:r>
        <w:t>es from 27 Hz, the fundamental frequency of A0, to a little more than 20 kHz, corresponding, for example, to the fifth partial of C8, if it was to estimate directly the partial frequencies of a piano.</w:t>
      </w:r>
    </w:p>
    <w:p w:rsidR="00A04DFD" w:rsidRDefault="004A3DF5">
      <w:pPr>
        <w:pStyle w:val="BodyText"/>
      </w:pPr>
      <w:r>
        <w:t xml:space="preserve">Working with inharmonicities, on the other hand, reduced the interval to the limit between 0.98 and 1.02. In addition, the behavior of inharmonicities is reasonably predictable, with a slightly exponential character, as illustrated in </w:t>
      </w:r>
      <w:hyperlink w:anchor="fig:inharmonicities">
        <w:r>
          <w:rPr>
            <w:rStyle w:val="Hyperlink"/>
          </w:rPr>
          <w:t>7</w:t>
        </w:r>
      </w:hyperlink>
      <w:r>
        <w:t>.</w:t>
      </w:r>
    </w:p>
    <w:p w:rsidR="00A04DFD" w:rsidRDefault="00A04DFD">
      <w:bookmarkStart w:id="10" w:name="fig:inharmonicities"/>
    </w:p>
    <w:p w:rsidR="00A04DFD" w:rsidRDefault="004A3DF5">
      <w:pPr>
        <w:pStyle w:val="CaptionedFigure"/>
      </w:pPr>
      <w:r>
        <w:rPr>
          <w:noProof/>
        </w:rPr>
        <w:drawing>
          <wp:inline distT="0" distB="0" distL="0" distR="0">
            <wp:extent cx="5334000" cy="2528315"/>
            <wp:effectExtent l="0" t="0" r="0" b="0"/>
            <wp:docPr id="7" name="Picture" descr="Figure 7: inharmonicities"/>
            <wp:cNvGraphicFramePr/>
            <a:graphic xmlns:a="http://schemas.openxmlformats.org/drawingml/2006/main">
              <a:graphicData uri="http://schemas.openxmlformats.org/drawingml/2006/picture">
                <pic:pic xmlns:pic="http://schemas.openxmlformats.org/drawingml/2006/picture">
                  <pic:nvPicPr>
                    <pic:cNvPr id="0" name="Picture" descr="images/inharmonicities.png"/>
                    <pic:cNvPicPr>
                      <a:picLocks noChangeAspect="1" noChangeArrowheads="1"/>
                    </pic:cNvPicPr>
                  </pic:nvPicPr>
                  <pic:blipFill>
                    <a:blip r:embed="rId13"/>
                    <a:stretch>
                      <a:fillRect/>
                    </a:stretch>
                  </pic:blipFill>
                  <pic:spPr bwMode="auto">
                    <a:xfrm>
                      <a:off x="0" y="0"/>
                      <a:ext cx="5334000" cy="2528315"/>
                    </a:xfrm>
                    <a:prstGeom prst="rect">
                      <a:avLst/>
                    </a:prstGeom>
                    <a:noFill/>
                    <a:ln w="9525">
                      <a:noFill/>
                      <a:headEnd/>
                      <a:tailEnd/>
                    </a:ln>
                  </pic:spPr>
                </pic:pic>
              </a:graphicData>
            </a:graphic>
          </wp:inline>
        </w:drawing>
      </w:r>
    </w:p>
    <w:p w:rsidR="00A04DFD" w:rsidRDefault="004A3DF5">
      <w:pPr>
        <w:pStyle w:val="ImageCaption"/>
      </w:pPr>
      <w:r>
        <w:t>Figure 7: inharmonicities</w:t>
      </w:r>
    </w:p>
    <w:bookmarkEnd w:id="10"/>
    <w:p w:rsidR="00A04DFD" w:rsidRDefault="004A3DF5">
      <w:pPr>
        <w:pStyle w:val="BodyText"/>
      </w:pPr>
      <w:r>
        <w:t>This same rationale is applied to the amplitudes, being predicted as a fraction of the maximum values ​​found in each of the keys (or notes, more generally, in the case of an arbitrary instrument being t</w:t>
      </w:r>
      <w:r>
        <w:t>rained), and residing in the closed interval between 0 and 1.</w:t>
      </w:r>
    </w:p>
    <w:p w:rsidR="00A04DFD" w:rsidRDefault="004A3DF5">
      <w:pPr>
        <w:pStyle w:val="BodyText"/>
      </w:pPr>
      <w:r>
        <w:t xml:space="preserve">The decay curve can be estimated considering the difference in intensity of an arbitrary frequency in the first and second halves of the wave, using the formula </w:t>
      </w:r>
      <m:oMath>
        <m:r>
          <w:rPr>
            <w:rFonts w:ascii="Cambria Math" w:hAnsi="Cambria Math"/>
          </w:rPr>
          <m:t>d</m:t>
        </m:r>
        <m:r>
          <w:rPr>
            <w:rFonts w:ascii="Cambria Math" w:hAnsi="Cambria Math"/>
          </w:rPr>
          <m:t>=2</m:t>
        </m:r>
        <m:r>
          <m:rPr>
            <m:sty m:val="p"/>
          </m:rPr>
          <w:rPr>
            <w:rFonts w:ascii="Cambria Math" w:hAnsi="Cambria Math"/>
          </w:rPr>
          <m:t>ln</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r>
          <w:rPr>
            <w:rFonts w:ascii="Cambria Math" w:hAnsi="Cambria Math"/>
          </w:rPr>
          <m:t>l</m:t>
        </m:r>
      </m:oMath>
      <w:r>
        <w:t xml:space="preserve">. Figure </w:t>
      </w:r>
      <w:hyperlink w:anchor="fig:frequencydecay">
        <w:r>
          <w:rPr>
            <w:rStyle w:val="Hyperlink"/>
          </w:rPr>
          <w:t>8</w:t>
        </w:r>
      </w:hyperlink>
      <w:r>
        <w:t xml:space="preserve"> illustrates the application of this procedure to some samples. Note that only in the last case, the wave being a pure sinusoid, the extracted decay corresponds to the sample envelope.</w:t>
      </w:r>
    </w:p>
    <w:p w:rsidR="00A04DFD" w:rsidRDefault="00A04DFD">
      <w:bookmarkStart w:id="11" w:name="fig:frequencydecay"/>
    </w:p>
    <w:p w:rsidR="00A04DFD" w:rsidRDefault="004A3DF5">
      <w:pPr>
        <w:pStyle w:val="CaptionedFigure"/>
      </w:pPr>
      <w:r>
        <w:rPr>
          <w:noProof/>
        </w:rPr>
        <w:drawing>
          <wp:inline distT="0" distB="0" distL="0" distR="0">
            <wp:extent cx="5334000" cy="1520190"/>
            <wp:effectExtent l="0" t="0" r="0" b="0"/>
            <wp:docPr id="8" name="Picture" descr="Figure 8: Estimates of the decay of the prevalent frequency"/>
            <wp:cNvGraphicFramePr/>
            <a:graphic xmlns:a="http://schemas.openxmlformats.org/drawingml/2006/main">
              <a:graphicData uri="http://schemas.openxmlformats.org/drawingml/2006/picture">
                <pic:pic xmlns:pic="http://schemas.openxmlformats.org/drawingml/2006/picture">
                  <pic:nvPicPr>
                    <pic:cNvPr id="0" name="Picture" descr="images/frequencydecay.png"/>
                    <pic:cNvPicPr>
                      <a:picLocks noChangeAspect="1" noChangeArrowheads="1"/>
                    </pic:cNvPicPr>
                  </pic:nvPicPr>
                  <pic:blipFill>
                    <a:blip r:embed="rId14"/>
                    <a:stretch>
                      <a:fillRect/>
                    </a:stretch>
                  </pic:blipFill>
                  <pic:spPr bwMode="auto">
                    <a:xfrm>
                      <a:off x="0" y="0"/>
                      <a:ext cx="5334000" cy="1520190"/>
                    </a:xfrm>
                    <a:prstGeom prst="rect">
                      <a:avLst/>
                    </a:prstGeom>
                    <a:noFill/>
                    <a:ln w="9525">
                      <a:noFill/>
                      <a:headEnd/>
                      <a:tailEnd/>
                    </a:ln>
                  </pic:spPr>
                </pic:pic>
              </a:graphicData>
            </a:graphic>
          </wp:inline>
        </w:drawing>
      </w:r>
    </w:p>
    <w:p w:rsidR="00A04DFD" w:rsidRDefault="004A3DF5">
      <w:pPr>
        <w:pStyle w:val="ImageCaption"/>
      </w:pPr>
      <w:r>
        <w:t>Figure 8: Estimates of the decay</w:t>
      </w:r>
      <w:r>
        <w:t xml:space="preserve"> of the prevalent frequency</w:t>
      </w:r>
    </w:p>
    <w:bookmarkEnd w:id="11"/>
    <w:p w:rsidR="00A04DFD" w:rsidRDefault="004A3DF5">
      <w:pPr>
        <w:pStyle w:val="BodyText"/>
      </w:pPr>
      <w:r>
        <w:t>As it was observed, with an estimate of the partial frequency decay, the phase information has negligible impact on the sound of the reconstructed wave; we chose to randomize the phases: This approach has the advantage of impart</w:t>
      </w:r>
      <w:r>
        <w:t>ing a more organic and varied character to the synthetized output of the final model, as no wave generated will be exactly the same as any other wave. Another option, less rich from the perceptual point of view, would be to give the phases an arbitrary val</w:t>
      </w:r>
      <w:r>
        <w:t>ue (such as zero, for example).</w:t>
      </w:r>
    </w:p>
    <w:p w:rsidR="00A04DFD" w:rsidRDefault="004A3DF5">
      <w:pPr>
        <w:pStyle w:val="BodyText"/>
      </w:pPr>
      <w:r>
        <w:t xml:space="preserve">We chose to use, as activation function in each of the network layers, a modified version of the hyperbolic tangent, in the form </w:t>
      </w:r>
      <m:oMath>
        <m:r>
          <w:rPr>
            <w:rFonts w:ascii="Cambria Math" w:hAnsi="Cambria Math"/>
          </w:rPr>
          <m:t>a</m:t>
        </m:r>
        <m:r>
          <w:rPr>
            <w:rFonts w:ascii="Cambria Math" w:hAnsi="Cambria Math"/>
          </w:rPr>
          <m:t>(</m:t>
        </m:r>
        <m:r>
          <w:rPr>
            <w:rFonts w:ascii="Cambria Math" w:hAnsi="Cambria Math"/>
          </w:rPr>
          <m:t>x</m:t>
        </m:r>
        <m:r>
          <w:rPr>
            <w:rFonts w:ascii="Cambria Math" w:hAnsi="Cambria Math"/>
          </w:rPr>
          <m:t>)=</m:t>
        </m:r>
        <m:r>
          <m:rPr>
            <m:sty m:val="p"/>
          </m:rPr>
          <w:rPr>
            <w:rFonts w:ascii="Cambria Math" w:hAnsi="Cambria Math"/>
          </w:rPr>
          <m:t>tanh</m:t>
        </m:r>
        <m:r>
          <w:rPr>
            <w:rFonts w:ascii="Cambria Math" w:hAnsi="Cambria Math"/>
          </w:rPr>
          <m:t>(6*</m:t>
        </m:r>
        <m:r>
          <w:rPr>
            <w:rFonts w:ascii="Cambria Math" w:hAnsi="Cambria Math"/>
          </w:rPr>
          <m:t>x</m:t>
        </m:r>
        <m:r>
          <w:rPr>
            <w:rFonts w:ascii="Cambria Math" w:hAnsi="Cambria Math"/>
          </w:rPr>
          <m:t>-</m:t>
        </m:r>
        <m:r>
          <w:rPr>
            <w:rFonts w:ascii="Cambria Math" w:hAnsi="Cambria Math"/>
          </w:rPr>
          <m:t>3)/2+1/2</m:t>
        </m:r>
      </m:oMath>
      <w:r>
        <w:t xml:space="preserve">, so as to best cover the interval </w:t>
      </w:r>
      <m:oMath>
        <m:r>
          <w:rPr>
            <w:rFonts w:ascii="Cambria Math" w:hAnsi="Cambria Math"/>
          </w:rPr>
          <m:t>[0,1]</m:t>
        </m:r>
      </m:oMath>
      <w:r>
        <w:t xml:space="preserve"> in which the inputs and outpu</w:t>
      </w:r>
      <w:r>
        <w:t>ts reside.</w:t>
      </w:r>
    </w:p>
    <w:p w:rsidR="00A04DFD" w:rsidRDefault="004A3DF5">
      <w:pPr>
        <w:pStyle w:val="BodyText"/>
      </w:pPr>
      <w:r>
        <w:t>The neural network used in the model has a total of 10,563 trainable parameters, that represent a size in disc of approximately 200 KB. The two initial layers, with 10 neurons each, are common to all the 3 predicted outputs, and provide a shared</w:t>
      </w:r>
      <w:r>
        <w:t xml:space="preserve"> initial representation, to be extended later by each of the branches responsible for individual quantities.</w:t>
      </w:r>
    </w:p>
    <w:p w:rsidR="00A04DFD" w:rsidRDefault="004A3DF5">
      <w:pPr>
        <w:pStyle w:val="BodyText"/>
      </w:pPr>
      <w:r>
        <w:t>This approach provides for less redundancy in the model, while allowing for the number of neurons in the independent layers to be customized to acc</w:t>
      </w:r>
      <w:r>
        <w:t xml:space="preserve">ount for the needs of each of the outputs; It’s worth noting that the frequency approximations made a priori allowed a small number of neurons in the branch responsible for the inharmonicities. Figure </w:t>
      </w:r>
      <w:hyperlink w:anchor="fig:results">
        <w:r>
          <w:rPr>
            <w:rStyle w:val="Hyperlink"/>
          </w:rPr>
          <w:t>9</w:t>
        </w:r>
      </w:hyperlink>
      <w:r>
        <w:t xml:space="preserve"> compares the origin</w:t>
      </w:r>
      <w:r>
        <w:t>al targets and the behavior learned by the network.</w:t>
      </w:r>
    </w:p>
    <w:p w:rsidR="00A04DFD" w:rsidRDefault="00A04DFD">
      <w:bookmarkStart w:id="12" w:name="fig:results"/>
    </w:p>
    <w:p w:rsidR="00A04DFD" w:rsidRDefault="004A3DF5">
      <w:pPr>
        <w:pStyle w:val="CaptionedFigure"/>
      </w:pPr>
      <w:r>
        <w:rPr>
          <w:noProof/>
        </w:rPr>
        <w:lastRenderedPageBreak/>
        <w:drawing>
          <wp:inline distT="0" distB="0" distL="0" distR="0">
            <wp:extent cx="5334000" cy="1658874"/>
            <wp:effectExtent l="0" t="0" r="0" b="0"/>
            <wp:docPr id="9" name="Picture" descr="Figure 9: Predictions"/>
            <wp:cNvGraphicFramePr/>
            <a:graphic xmlns:a="http://schemas.openxmlformats.org/drawingml/2006/main">
              <a:graphicData uri="http://schemas.openxmlformats.org/drawingml/2006/picture">
                <pic:pic xmlns:pic="http://schemas.openxmlformats.org/drawingml/2006/picture">
                  <pic:nvPicPr>
                    <pic:cNvPr id="0" name="Picture" descr="images/results.png"/>
                    <pic:cNvPicPr>
                      <a:picLocks noChangeAspect="1" noChangeArrowheads="1"/>
                    </pic:cNvPicPr>
                  </pic:nvPicPr>
                  <pic:blipFill>
                    <a:blip r:embed="rId15"/>
                    <a:stretch>
                      <a:fillRect/>
                    </a:stretch>
                  </pic:blipFill>
                  <pic:spPr bwMode="auto">
                    <a:xfrm>
                      <a:off x="0" y="0"/>
                      <a:ext cx="5334000" cy="1658874"/>
                    </a:xfrm>
                    <a:prstGeom prst="rect">
                      <a:avLst/>
                    </a:prstGeom>
                    <a:noFill/>
                    <a:ln w="9525">
                      <a:noFill/>
                      <a:headEnd/>
                      <a:tailEnd/>
                    </a:ln>
                  </pic:spPr>
                </pic:pic>
              </a:graphicData>
            </a:graphic>
          </wp:inline>
        </w:drawing>
      </w:r>
    </w:p>
    <w:p w:rsidR="00A04DFD" w:rsidRDefault="004A3DF5">
      <w:pPr>
        <w:pStyle w:val="ImageCaption"/>
      </w:pPr>
      <w:r>
        <w:t>Figure 9: Predictions</w:t>
      </w:r>
    </w:p>
    <w:bookmarkEnd w:id="12"/>
    <w:p w:rsidR="00A04DFD" w:rsidRDefault="004A3DF5">
      <w:pPr>
        <w:pStyle w:val="BodyText"/>
      </w:pPr>
      <w:r>
        <w:t xml:space="preserve">Thus, we can define a new methodology for sound modeling of harmonic instruments, dubbed “Neuro-Spectral Synthesis”, as summarized figure </w:t>
      </w:r>
      <w:hyperlink w:anchor="fig:neurospectral">
        <w:r>
          <w:rPr>
            <w:rStyle w:val="Hyperlink"/>
          </w:rPr>
          <w:t>1</w:t>
        </w:r>
        <w:r>
          <w:rPr>
            <w:rStyle w:val="Hyperlink"/>
          </w:rPr>
          <w:t>0</w:t>
        </w:r>
      </w:hyperlink>
      <w:r>
        <w:t>:.</w:t>
      </w:r>
    </w:p>
    <w:p w:rsidR="00A04DFD" w:rsidRDefault="00A04DFD">
      <w:bookmarkStart w:id="13" w:name="fig:neurospectral"/>
    </w:p>
    <w:p w:rsidR="00A04DFD" w:rsidRDefault="004A3DF5">
      <w:pPr>
        <w:pStyle w:val="CaptionedFigure"/>
      </w:pPr>
      <w:r>
        <w:rPr>
          <w:noProof/>
        </w:rPr>
        <w:drawing>
          <wp:inline distT="0" distB="0" distL="0" distR="0">
            <wp:extent cx="5334000" cy="2576322"/>
            <wp:effectExtent l="0" t="0" r="0" b="0"/>
            <wp:docPr id="10" name="Picture" descr="Figure 10: Schematic view of the final model"/>
            <wp:cNvGraphicFramePr/>
            <a:graphic xmlns:a="http://schemas.openxmlformats.org/drawingml/2006/main">
              <a:graphicData uri="http://schemas.openxmlformats.org/drawingml/2006/picture">
                <pic:pic xmlns:pic="http://schemas.openxmlformats.org/drawingml/2006/picture">
                  <pic:nvPicPr>
                    <pic:cNvPr id="0" name="Picture" descr="images/neurospectral.png"/>
                    <pic:cNvPicPr>
                      <a:picLocks noChangeAspect="1" noChangeArrowheads="1"/>
                    </pic:cNvPicPr>
                  </pic:nvPicPr>
                  <pic:blipFill>
                    <a:blip r:embed="rId16"/>
                    <a:stretch>
                      <a:fillRect/>
                    </a:stretch>
                  </pic:blipFill>
                  <pic:spPr bwMode="auto">
                    <a:xfrm>
                      <a:off x="0" y="0"/>
                      <a:ext cx="5334000" cy="2576322"/>
                    </a:xfrm>
                    <a:prstGeom prst="rect">
                      <a:avLst/>
                    </a:prstGeom>
                    <a:noFill/>
                    <a:ln w="9525">
                      <a:noFill/>
                      <a:headEnd/>
                      <a:tailEnd/>
                    </a:ln>
                  </pic:spPr>
                </pic:pic>
              </a:graphicData>
            </a:graphic>
          </wp:inline>
        </w:drawing>
      </w:r>
    </w:p>
    <w:p w:rsidR="00A04DFD" w:rsidRDefault="004A3DF5">
      <w:pPr>
        <w:pStyle w:val="ImageCaption"/>
      </w:pPr>
      <w:r>
        <w:t>Figure 10: Schematic view of the final model</w:t>
      </w:r>
    </w:p>
    <w:p w:rsidR="00A04DFD" w:rsidRDefault="004A3DF5">
      <w:pPr>
        <w:pStyle w:val="Heading1"/>
      </w:pPr>
      <w:bookmarkStart w:id="14" w:name="results-and-discussion"/>
      <w:bookmarkEnd w:id="13"/>
      <w:r>
        <w:t>Results and Discussion</w:t>
      </w:r>
      <w:bookmarkEnd w:id="14"/>
    </w:p>
    <w:p w:rsidR="00A04DFD" w:rsidRDefault="004A3DF5">
      <w:pPr>
        <w:pStyle w:val="FirstParagraph"/>
      </w:pPr>
      <w:r>
        <w:t>In order to assess the quality of the proposed model, we compare it’s results and behavior with implementations of the two most used approaches in sound synthesis, namely, digital w</w:t>
      </w:r>
      <w:r>
        <w:t>aveguides[smith2006basic] and the finite differences method [bilbao2009numerical]. For an in comparison of those methods, the reader is referred to Karjalainen e Erkut (2004).</w:t>
      </w:r>
    </w:p>
    <w:p w:rsidR="00A04DFD" w:rsidRDefault="004A3DF5">
      <w:pPr>
        <w:pStyle w:val="BodyText"/>
      </w:pPr>
      <w:r>
        <w:t>In behalf of consistency, implementations of the two methods were prepared, in t</w:t>
      </w:r>
      <w:r>
        <w:t>he Python programming language, and are available in a Github repository TODO:.</w:t>
      </w:r>
    </w:p>
    <w:p w:rsidR="00A04DFD" w:rsidRDefault="004A3DF5">
      <w:pPr>
        <w:pStyle w:val="BodyText"/>
      </w:pPr>
      <w:r>
        <w:lastRenderedPageBreak/>
        <w:t>The neural model presents more realistic results than the implementations based on either digital waveguides or finite difference methods, and is at least 10 times more efficie</w:t>
      </w:r>
      <w:r>
        <w:t>nt, on comparison with author’s implementations.</w:t>
      </w:r>
    </w:p>
    <w:p w:rsidR="00A04DFD" w:rsidRDefault="004A3DF5">
      <w:pPr>
        <w:pStyle w:val="BodyText"/>
      </w:pPr>
      <w:r>
        <w:t>For comparison, taking into account the generation of 5 1-second waves at 44,100 FPS, the proposed method was, on average, 17 times faster than the Digital Waveguides-based method and 26 times faster than th</w:t>
      </w:r>
      <w:r>
        <w:t xml:space="preserve">e finite differences. Table </w:t>
      </w:r>
      <w:hyperlink w:anchor="tbl:comparison">
        <w:r>
          <w:rPr>
            <w:rStyle w:val="Hyperlink"/>
          </w:rPr>
          <w:t>1</w:t>
        </w:r>
      </w:hyperlink>
      <w:r>
        <w:t xml:space="preserve"> summarizes the results.</w:t>
      </w:r>
    </w:p>
    <w:p w:rsidR="00A04DFD" w:rsidRDefault="00A04DFD">
      <w:bookmarkStart w:id="15" w:name="tbl:comparison"/>
    </w:p>
    <w:p w:rsidR="00A04DFD" w:rsidRDefault="004A3DF5">
      <w:pPr>
        <w:pStyle w:val="TableCaption"/>
      </w:pPr>
      <w:r>
        <w:t xml:space="preserve">Table 1: Comparison of the latency in seconds for the 3 implementations </w:t>
      </w:r>
    </w:p>
    <w:tbl>
      <w:tblPr>
        <w:tblStyle w:val="Table"/>
        <w:tblW w:w="0" w:type="pct"/>
        <w:tblLook w:val="07E0" w:firstRow="1" w:lastRow="1" w:firstColumn="1" w:lastColumn="1" w:noHBand="1" w:noVBand="1"/>
      </w:tblPr>
      <w:tblGrid>
        <w:gridCol w:w="2352"/>
        <w:gridCol w:w="2028"/>
        <w:gridCol w:w="2191"/>
        <w:gridCol w:w="2804"/>
      </w:tblGrid>
      <w:tr w:rsidR="00A04DFD">
        <w:tc>
          <w:tcPr>
            <w:tcW w:w="0" w:type="auto"/>
            <w:tcBorders>
              <w:bottom w:val="single" w:sz="0" w:space="0" w:color="auto"/>
            </w:tcBorders>
            <w:vAlign w:val="bottom"/>
          </w:tcPr>
          <w:p w:rsidR="00A04DFD" w:rsidRDefault="00A04DFD">
            <w:pPr>
              <w:pStyle w:val="Compact"/>
            </w:pPr>
          </w:p>
        </w:tc>
        <w:tc>
          <w:tcPr>
            <w:tcW w:w="0" w:type="auto"/>
            <w:tcBorders>
              <w:bottom w:val="single" w:sz="0" w:space="0" w:color="auto"/>
            </w:tcBorders>
            <w:vAlign w:val="bottom"/>
          </w:tcPr>
          <w:p w:rsidR="00A04DFD" w:rsidRDefault="004A3DF5">
            <w:pPr>
              <w:pStyle w:val="Compact"/>
              <w:jc w:val="center"/>
            </w:pPr>
            <w:r>
              <w:t>Finite Differences</w:t>
            </w:r>
          </w:p>
        </w:tc>
        <w:tc>
          <w:tcPr>
            <w:tcW w:w="0" w:type="auto"/>
            <w:tcBorders>
              <w:bottom w:val="single" w:sz="0" w:space="0" w:color="auto"/>
            </w:tcBorders>
            <w:vAlign w:val="bottom"/>
          </w:tcPr>
          <w:p w:rsidR="00A04DFD" w:rsidRDefault="004A3DF5">
            <w:pPr>
              <w:pStyle w:val="Compact"/>
              <w:jc w:val="center"/>
            </w:pPr>
            <w:r>
              <w:t>Digital Waveguides</w:t>
            </w:r>
          </w:p>
        </w:tc>
        <w:tc>
          <w:tcPr>
            <w:tcW w:w="0" w:type="auto"/>
            <w:tcBorders>
              <w:bottom w:val="single" w:sz="0" w:space="0" w:color="auto"/>
            </w:tcBorders>
            <w:vAlign w:val="bottom"/>
          </w:tcPr>
          <w:p w:rsidR="00A04DFD" w:rsidRDefault="004A3DF5">
            <w:pPr>
              <w:pStyle w:val="Compact"/>
              <w:jc w:val="center"/>
            </w:pPr>
            <w:r>
              <w:t>Neuro-Spectral Synthesis</w:t>
            </w:r>
          </w:p>
        </w:tc>
      </w:tr>
      <w:tr w:rsidR="00A04DFD">
        <w:tc>
          <w:tcPr>
            <w:tcW w:w="0" w:type="auto"/>
          </w:tcPr>
          <w:p w:rsidR="00A04DFD" w:rsidRDefault="004A3DF5">
            <w:pPr>
              <w:pStyle w:val="Compact"/>
            </w:pPr>
            <w:r>
              <w:t>1</w:t>
            </w:r>
          </w:p>
        </w:tc>
        <w:tc>
          <w:tcPr>
            <w:tcW w:w="0" w:type="auto"/>
          </w:tcPr>
          <w:p w:rsidR="00A04DFD" w:rsidRDefault="004A3DF5">
            <w:pPr>
              <w:pStyle w:val="Compact"/>
              <w:jc w:val="center"/>
            </w:pPr>
            <w:r>
              <w:t>16.95213819</w:t>
            </w:r>
          </w:p>
        </w:tc>
        <w:tc>
          <w:tcPr>
            <w:tcW w:w="0" w:type="auto"/>
          </w:tcPr>
          <w:p w:rsidR="00A04DFD" w:rsidRDefault="004A3DF5">
            <w:pPr>
              <w:pStyle w:val="Compact"/>
              <w:jc w:val="center"/>
            </w:pPr>
            <w:r>
              <w:t>13.81114888</w:t>
            </w:r>
          </w:p>
        </w:tc>
        <w:tc>
          <w:tcPr>
            <w:tcW w:w="0" w:type="auto"/>
          </w:tcPr>
          <w:p w:rsidR="00A04DFD" w:rsidRDefault="004A3DF5">
            <w:pPr>
              <w:pStyle w:val="Compact"/>
              <w:jc w:val="center"/>
            </w:pPr>
            <w:r>
              <w:t>0.5896253586</w:t>
            </w:r>
          </w:p>
        </w:tc>
      </w:tr>
      <w:tr w:rsidR="00A04DFD">
        <w:tc>
          <w:tcPr>
            <w:tcW w:w="0" w:type="auto"/>
          </w:tcPr>
          <w:p w:rsidR="00A04DFD" w:rsidRDefault="004A3DF5">
            <w:pPr>
              <w:pStyle w:val="Compact"/>
            </w:pPr>
            <w:r>
              <w:t>2</w:t>
            </w:r>
          </w:p>
        </w:tc>
        <w:tc>
          <w:tcPr>
            <w:tcW w:w="0" w:type="auto"/>
          </w:tcPr>
          <w:p w:rsidR="00A04DFD" w:rsidRDefault="004A3DF5">
            <w:pPr>
              <w:pStyle w:val="Compact"/>
              <w:jc w:val="center"/>
            </w:pPr>
            <w:r>
              <w:t>19.62042928</w:t>
            </w:r>
          </w:p>
        </w:tc>
        <w:tc>
          <w:tcPr>
            <w:tcW w:w="0" w:type="auto"/>
          </w:tcPr>
          <w:p w:rsidR="00A04DFD" w:rsidRDefault="004A3DF5">
            <w:pPr>
              <w:pStyle w:val="Compact"/>
              <w:jc w:val="center"/>
            </w:pPr>
            <w:r>
              <w:t>13.02065825</w:t>
            </w:r>
          </w:p>
        </w:tc>
        <w:tc>
          <w:tcPr>
            <w:tcW w:w="0" w:type="auto"/>
          </w:tcPr>
          <w:p w:rsidR="00A04DFD" w:rsidRDefault="004A3DF5">
            <w:pPr>
              <w:pStyle w:val="Compact"/>
              <w:jc w:val="center"/>
            </w:pPr>
            <w:r>
              <w:t>0.8354649544</w:t>
            </w:r>
          </w:p>
        </w:tc>
      </w:tr>
      <w:tr w:rsidR="00A04DFD">
        <w:tc>
          <w:tcPr>
            <w:tcW w:w="0" w:type="auto"/>
          </w:tcPr>
          <w:p w:rsidR="00A04DFD" w:rsidRDefault="004A3DF5">
            <w:pPr>
              <w:pStyle w:val="Compact"/>
            </w:pPr>
            <w:r>
              <w:t>3</w:t>
            </w:r>
          </w:p>
        </w:tc>
        <w:tc>
          <w:tcPr>
            <w:tcW w:w="0" w:type="auto"/>
          </w:tcPr>
          <w:p w:rsidR="00A04DFD" w:rsidRDefault="004A3DF5">
            <w:pPr>
              <w:pStyle w:val="Compact"/>
              <w:jc w:val="center"/>
            </w:pPr>
            <w:r>
              <w:t>24.25646234</w:t>
            </w:r>
          </w:p>
        </w:tc>
        <w:tc>
          <w:tcPr>
            <w:tcW w:w="0" w:type="auto"/>
          </w:tcPr>
          <w:p w:rsidR="00A04DFD" w:rsidRDefault="004A3DF5">
            <w:pPr>
              <w:pStyle w:val="Compact"/>
              <w:jc w:val="center"/>
            </w:pPr>
            <w:r>
              <w:t>11.33273816</w:t>
            </w:r>
          </w:p>
        </w:tc>
        <w:tc>
          <w:tcPr>
            <w:tcW w:w="0" w:type="auto"/>
          </w:tcPr>
          <w:p w:rsidR="00A04DFD" w:rsidRDefault="004A3DF5">
            <w:pPr>
              <w:pStyle w:val="Compact"/>
              <w:jc w:val="center"/>
            </w:pPr>
            <w:r>
              <w:t>0.7555158138</w:t>
            </w:r>
          </w:p>
        </w:tc>
      </w:tr>
      <w:tr w:rsidR="00A04DFD">
        <w:tc>
          <w:tcPr>
            <w:tcW w:w="0" w:type="auto"/>
          </w:tcPr>
          <w:p w:rsidR="00A04DFD" w:rsidRDefault="004A3DF5">
            <w:pPr>
              <w:pStyle w:val="Compact"/>
            </w:pPr>
            <w:r>
              <w:t>4</w:t>
            </w:r>
          </w:p>
        </w:tc>
        <w:tc>
          <w:tcPr>
            <w:tcW w:w="0" w:type="auto"/>
          </w:tcPr>
          <w:p w:rsidR="00A04DFD" w:rsidRDefault="004A3DF5">
            <w:pPr>
              <w:pStyle w:val="Compact"/>
              <w:jc w:val="center"/>
            </w:pPr>
            <w:r>
              <w:t>17.89053726</w:t>
            </w:r>
          </w:p>
        </w:tc>
        <w:tc>
          <w:tcPr>
            <w:tcW w:w="0" w:type="auto"/>
          </w:tcPr>
          <w:p w:rsidR="00A04DFD" w:rsidRDefault="004A3DF5">
            <w:pPr>
              <w:pStyle w:val="Compact"/>
              <w:jc w:val="center"/>
            </w:pPr>
            <w:r>
              <w:t>12.3500874</w:t>
            </w:r>
          </w:p>
        </w:tc>
        <w:tc>
          <w:tcPr>
            <w:tcW w:w="0" w:type="auto"/>
          </w:tcPr>
          <w:p w:rsidR="00A04DFD" w:rsidRDefault="004A3DF5">
            <w:pPr>
              <w:pStyle w:val="Compact"/>
              <w:jc w:val="center"/>
            </w:pPr>
            <w:r>
              <w:t>0.7475204468</w:t>
            </w:r>
          </w:p>
        </w:tc>
      </w:tr>
      <w:tr w:rsidR="00A04DFD">
        <w:tc>
          <w:tcPr>
            <w:tcW w:w="0" w:type="auto"/>
          </w:tcPr>
          <w:p w:rsidR="00A04DFD" w:rsidRDefault="004A3DF5">
            <w:pPr>
              <w:pStyle w:val="Compact"/>
            </w:pPr>
            <w:r>
              <w:t>5</w:t>
            </w:r>
          </w:p>
        </w:tc>
        <w:tc>
          <w:tcPr>
            <w:tcW w:w="0" w:type="auto"/>
          </w:tcPr>
          <w:p w:rsidR="00A04DFD" w:rsidRDefault="004A3DF5">
            <w:pPr>
              <w:pStyle w:val="Compact"/>
              <w:jc w:val="center"/>
            </w:pPr>
            <w:r>
              <w:t>18.00246739</w:t>
            </w:r>
          </w:p>
        </w:tc>
        <w:tc>
          <w:tcPr>
            <w:tcW w:w="0" w:type="auto"/>
          </w:tcPr>
          <w:p w:rsidR="00A04DFD" w:rsidRDefault="004A3DF5">
            <w:pPr>
              <w:pStyle w:val="Compact"/>
              <w:jc w:val="center"/>
            </w:pPr>
            <w:r>
              <w:t>12.12223339</w:t>
            </w:r>
          </w:p>
        </w:tc>
        <w:tc>
          <w:tcPr>
            <w:tcW w:w="0" w:type="auto"/>
          </w:tcPr>
          <w:p w:rsidR="00A04DFD" w:rsidRDefault="004A3DF5">
            <w:pPr>
              <w:pStyle w:val="Compact"/>
              <w:jc w:val="center"/>
            </w:pPr>
            <w:r>
              <w:t>0.7735056877</w:t>
            </w:r>
          </w:p>
        </w:tc>
      </w:tr>
      <w:tr w:rsidR="00A04DFD">
        <w:tc>
          <w:tcPr>
            <w:tcW w:w="0" w:type="auto"/>
          </w:tcPr>
          <w:p w:rsidR="00A04DFD" w:rsidRDefault="004A3DF5">
            <w:pPr>
              <w:pStyle w:val="Compact"/>
            </w:pPr>
            <w:r>
              <w:rPr>
                <w:b/>
              </w:rPr>
              <w:t>Average</w:t>
            </w:r>
          </w:p>
        </w:tc>
        <w:tc>
          <w:tcPr>
            <w:tcW w:w="0" w:type="auto"/>
          </w:tcPr>
          <w:p w:rsidR="00A04DFD" w:rsidRDefault="004A3DF5">
            <w:pPr>
              <w:pStyle w:val="Compact"/>
              <w:jc w:val="center"/>
            </w:pPr>
            <w:r>
              <w:rPr>
                <w:b/>
              </w:rPr>
              <w:t>19.34440689</w:t>
            </w:r>
          </w:p>
        </w:tc>
        <w:tc>
          <w:tcPr>
            <w:tcW w:w="0" w:type="auto"/>
          </w:tcPr>
          <w:p w:rsidR="00A04DFD" w:rsidRDefault="004A3DF5">
            <w:pPr>
              <w:pStyle w:val="Compact"/>
              <w:jc w:val="center"/>
            </w:pPr>
            <w:r>
              <w:rPr>
                <w:b/>
              </w:rPr>
              <w:t>12.52737322</w:t>
            </w:r>
          </w:p>
        </w:tc>
        <w:tc>
          <w:tcPr>
            <w:tcW w:w="0" w:type="auto"/>
          </w:tcPr>
          <w:p w:rsidR="00A04DFD" w:rsidRDefault="004A3DF5">
            <w:pPr>
              <w:pStyle w:val="Compact"/>
              <w:jc w:val="center"/>
            </w:pPr>
            <w:r>
              <w:rPr>
                <w:b/>
              </w:rPr>
              <w:t>0.7403264523</w:t>
            </w:r>
          </w:p>
        </w:tc>
      </w:tr>
      <w:tr w:rsidR="00A04DFD">
        <w:tc>
          <w:tcPr>
            <w:tcW w:w="0" w:type="auto"/>
          </w:tcPr>
          <w:p w:rsidR="00A04DFD" w:rsidRDefault="004A3DF5">
            <w:pPr>
              <w:pStyle w:val="Compact"/>
            </w:pPr>
            <w:r>
              <w:rPr>
                <w:b/>
              </w:rPr>
              <w:t>Standard Deviation</w:t>
            </w:r>
          </w:p>
        </w:tc>
        <w:tc>
          <w:tcPr>
            <w:tcW w:w="0" w:type="auto"/>
          </w:tcPr>
          <w:p w:rsidR="00A04DFD" w:rsidRDefault="004A3DF5">
            <w:pPr>
              <w:pStyle w:val="Compact"/>
              <w:jc w:val="center"/>
            </w:pPr>
            <w:r>
              <w:rPr>
                <w:b/>
              </w:rPr>
              <w:t>2.908692366</w:t>
            </w:r>
          </w:p>
        </w:tc>
        <w:tc>
          <w:tcPr>
            <w:tcW w:w="0" w:type="auto"/>
          </w:tcPr>
          <w:p w:rsidR="00A04DFD" w:rsidRDefault="004A3DF5">
            <w:pPr>
              <w:pStyle w:val="Compact"/>
              <w:jc w:val="center"/>
            </w:pPr>
            <w:r>
              <w:rPr>
                <w:b/>
              </w:rPr>
              <w:t>0.937300851</w:t>
            </w:r>
          </w:p>
        </w:tc>
        <w:tc>
          <w:tcPr>
            <w:tcW w:w="0" w:type="auto"/>
          </w:tcPr>
          <w:p w:rsidR="00A04DFD" w:rsidRDefault="004A3DF5">
            <w:pPr>
              <w:pStyle w:val="Compact"/>
              <w:jc w:val="center"/>
            </w:pPr>
            <w:r>
              <w:rPr>
                <w:b/>
              </w:rPr>
              <w:t>0.09102950916</w:t>
            </w:r>
          </w:p>
        </w:tc>
      </w:tr>
    </w:tbl>
    <w:bookmarkEnd w:id="15"/>
    <w:p w:rsidR="00A04DFD" w:rsidRDefault="004A3DF5">
      <w:pPr>
        <w:pStyle w:val="BodyText"/>
      </w:pPr>
      <w:r>
        <w:t xml:space="preserve">Sounds generated by the proposed model can be heard in a musical context in the authors Soundcloud </w:t>
      </w:r>
      <w:hyperlink r:id="rId17">
        <w:r>
          <w:rPr>
            <w:rStyle w:val="Hyperlink"/>
          </w:rPr>
          <w:t>soundcloud.com/carlos-tarjano/sets/spectra</w:t>
        </w:r>
        <w:r>
          <w:rPr>
            <w:rStyle w:val="Hyperlink"/>
          </w:rPr>
          <w:t>l-neural-synthesis</w:t>
        </w:r>
      </w:hyperlink>
    </w:p>
    <w:p w:rsidR="00A04DFD" w:rsidRDefault="004A3DF5">
      <w:pPr>
        <w:pStyle w:val="BodyText"/>
      </w:pPr>
      <w:r>
        <w:t>Some tracks make use of a Drumkit generated with a similar approach as the one presented in this work. Worth of note is a hybrid instrument used in other tracks TODO:, a amalgam hallucinated by the network based on training using samples</w:t>
      </w:r>
      <w:r>
        <w:t xml:space="preserve"> of an acoustic bass, for the lowest notes, a violoncello for the middle of the register, and a violin for the highest notes.</w:t>
      </w:r>
    </w:p>
    <w:p w:rsidR="00A04DFD" w:rsidRDefault="004A3DF5">
      <w:pPr>
        <w:pStyle w:val="BodyText"/>
      </w:pPr>
      <w:r>
        <w:t>TODO: Compare with stablished vsts</w:t>
      </w:r>
    </w:p>
    <w:p w:rsidR="00A04DFD" w:rsidRDefault="004A3DF5">
      <w:pPr>
        <w:pStyle w:val="BodyText"/>
      </w:pPr>
      <w:r>
        <w:t>The main limitation of the proposed methodology is that all the parameters to be manipulated in</w:t>
      </w:r>
      <w:r>
        <w:t xml:space="preserve"> the final model must first have been incorporated into the training process. The two physical modeling paradigms used for comparison, both the finite difference method and the digital waveguides, allow some real-time manipulation of their parameters after</w:t>
      </w:r>
      <w:r>
        <w:t>wards: in the examples presented, the excitation point can be changed from wave to wave and at any time, the pickup point can be changed, even during the simulation, reflecting on the timbre of the sound generated.</w:t>
      </w:r>
    </w:p>
    <w:p w:rsidR="00A04DFD" w:rsidRDefault="004A3DF5">
      <w:pPr>
        <w:pStyle w:val="BodyText"/>
      </w:pPr>
      <w:r>
        <w:t>In addition, these models lend themselves</w:t>
      </w:r>
      <w:r>
        <w:t xml:space="preserve"> to the reasonably trivial incorporation of a source, continuous or periodic, of excitation, and can be used for the simulation of continuous-sounding instruments, like bow-driven violins (unlike the pizzicato * drive here and metals, for example; this is </w:t>
      </w:r>
      <w:r>
        <w:t>not the case of the model proposed here, and constitutes a possibility of interesting future development.</w:t>
      </w:r>
    </w:p>
    <w:p w:rsidR="00A04DFD" w:rsidRDefault="004A3DF5">
      <w:pPr>
        <w:pStyle w:val="BodyText"/>
      </w:pPr>
      <w:r>
        <w:lastRenderedPageBreak/>
        <w:t xml:space="preserve">Another barrier is that the model learns sound characteristics from examples and does not lend itself in a practical way to direct sound exploration; </w:t>
      </w:r>
      <w:r>
        <w:t>this must be done from another tool, and then incorporated into the model, at the time of its training.</w:t>
      </w:r>
    </w:p>
    <w:p w:rsidR="00A04DFD" w:rsidRDefault="004A3DF5">
      <w:pPr>
        <w:pStyle w:val="Heading1"/>
      </w:pPr>
      <w:bookmarkStart w:id="16" w:name="conclusion"/>
      <w:r>
        <w:t>Conclusion</w:t>
      </w:r>
      <w:bookmarkEnd w:id="16"/>
    </w:p>
    <w:p w:rsidR="00A04DFD" w:rsidRDefault="004A3DF5">
      <w:pPr>
        <w:pStyle w:val="FirstParagraph"/>
      </w:pPr>
      <w:r>
        <w:t>The present work, introducing a new technique of instrument modeling, demonstrates the potential of the use of neural networks to audio synth</w:t>
      </w:r>
      <w:r>
        <w:t>esis, stablishing the potential of real time applications. The model generates more credible results than the most used and efficient real-time acoustic modeling algorithm found in the literature, at a lower computational cost.</w:t>
      </w:r>
    </w:p>
    <w:p w:rsidR="00A04DFD" w:rsidRDefault="004A3DF5">
      <w:pPr>
        <w:pStyle w:val="BodyText"/>
      </w:pPr>
      <w:r>
        <w:t>Another advantage over conve</w:t>
      </w:r>
      <w:r>
        <w:t>ntional models based on physical simulation is that it can learn important sound characteristics that originate from parts of the system difficult to physically model, such as the influence of resonators of complex geometry, for example.</w:t>
      </w:r>
    </w:p>
    <w:p w:rsidR="00A04DFD" w:rsidRDefault="004A3DF5">
      <w:pPr>
        <w:pStyle w:val="BodyText"/>
      </w:pPr>
      <w:r>
        <w:t>The present work s</w:t>
      </w:r>
      <w:r>
        <w:t>hows that dense architectures, given a suitable representation, are able to learn features that allow the reproduction and generalization of sound samples in a direct way; from the introduction of a compact, physically informed representation of harmonic s</w:t>
      </w:r>
      <w:r>
        <w:t>ound waves, the work shows the synergetic potential between research developments on the acoustics of musical instruments and the use of neural networks to base models for the emulation of these instruments, or families of instruments.</w:t>
      </w:r>
    </w:p>
    <w:p w:rsidR="00A04DFD" w:rsidRDefault="004A3DF5">
      <w:pPr>
        <w:pStyle w:val="BodyText"/>
      </w:pPr>
      <w:r>
        <w:t>Furthermore, through</w:t>
      </w:r>
      <w:r>
        <w:t xml:space="preserve"> the use of specially designed activation functions to accommodate the pertinent representation parameters and appropriate initialization methods of weights and biases, these architectures can be simplified and the required number of trainable parameters a</w:t>
      </w:r>
      <w:r>
        <w:t>ppreciably decreased, making them more effective for real-time sound synthesis.</w:t>
      </w:r>
    </w:p>
    <w:p w:rsidR="00A04DFD" w:rsidRDefault="004A3DF5">
      <w:pPr>
        <w:pStyle w:val="BodyText"/>
      </w:pPr>
      <w:r>
        <w:t>The possibilities for future developments in this area of ​​intersection between neural networks and acoustics are numerous, given the scarcity of similar investigations: It wo</w:t>
      </w:r>
      <w:r>
        <w:t xml:space="preserve">uld be interesting, for example, to use the outputs of a model based on the finite difference method, which can be formulated so as to simulate more sophisticated features of an instrument such as string stiffness, resonance and various terms of loss of a </w:t>
      </w:r>
      <w:r>
        <w:t>given acoustic system, at the cost of a high demand of computational resources, to train a model based on digital waveguides with a neural network at the point where losses and other calculations are concatenated.</w:t>
      </w:r>
    </w:p>
    <w:p w:rsidR="00A04DFD" w:rsidRDefault="004A3DF5">
      <w:pPr>
        <w:pStyle w:val="BodyText"/>
      </w:pPr>
      <w:r>
        <w:t>Due to the high degree of recursion of the</w:t>
      </w:r>
      <w:r>
        <w:t xml:space="preserve"> digital waveguides algorithm, direct training based on the expected outputs of the model is quite complex to be implemented; the output vectors of a simulation based on finite differences, however, are fully compatible with this approach, and the insertio</w:t>
      </w:r>
      <w:r>
        <w:t>n of a neural network could lead to a model that retains at least part of the accuracy of the simulation by the finite difference method, with computational efficiency close to or even higher than that presented by the digital waveguides algorithm. In (Gul</w:t>
      </w:r>
      <w:r>
        <w:t xml:space="preserve">ly </w:t>
      </w:r>
      <w:r>
        <w:rPr>
          <w:i/>
        </w:rPr>
        <w:t>et al.</w:t>
      </w:r>
      <w:r>
        <w:t>, 2017), for example, we find an example of this work, which explores the use of neural networks for the identification of relevant parameters to a simulation by digital waveguides of the human vocal tract.</w:t>
      </w:r>
    </w:p>
    <w:p w:rsidR="00A04DFD" w:rsidRDefault="004A3DF5">
      <w:pPr>
        <w:pStyle w:val="BodyText"/>
      </w:pPr>
      <w:r>
        <w:lastRenderedPageBreak/>
        <w:t xml:space="preserve">Relax the simplification adopted during </w:t>
      </w:r>
      <w:r>
        <w:t>the work in relation to exponential decays is another future development with interesting potential: for some categories of sound, the human voice for example, the envelope of the wave presents greater impact than the frequencies in perceptual characterist</w:t>
      </w:r>
      <w:r>
        <w:t>ics of the sound, such as intelligibility.</w:t>
      </w:r>
    </w:p>
    <w:p w:rsidR="00A04DFD" w:rsidRDefault="004A3DF5">
      <w:pPr>
        <w:pStyle w:val="BodyText"/>
      </w:pPr>
      <w:r>
        <w:t>Estimate the envelopes with the technique presented here, considering a larger number of points and use a neural network to learn the characteristics of that envelope for a set samples from an arbitrary instrument</w:t>
      </w:r>
      <w:r>
        <w:t>, or even the human voice, is another interesting direction to be investigated.</w:t>
      </w:r>
    </w:p>
    <w:p w:rsidR="00A04DFD" w:rsidRDefault="004A3DF5">
      <w:pPr>
        <w:pStyle w:val="BodyText"/>
      </w:pPr>
      <w:r>
        <w:t xml:space="preserve">Another development would be to implement the method in a more efficient programming language, such as C or C++, with the addition of a visual interface and compatibility with </w:t>
      </w:r>
      <w:r>
        <w:t>MIDI controllers. Those modifications can base a commercially viable product line, to be marketed in standalone and or VST plugin format.</w:t>
      </w:r>
    </w:p>
    <w:p w:rsidR="00A04DFD" w:rsidRPr="00FE7E0E" w:rsidRDefault="004A3DF5">
      <w:pPr>
        <w:pStyle w:val="Heading1"/>
        <w:rPr>
          <w:lang w:val="es-ES"/>
        </w:rPr>
      </w:pPr>
      <w:bookmarkStart w:id="17" w:name="references"/>
      <w:r w:rsidRPr="00FE7E0E">
        <w:rPr>
          <w:lang w:val="es-ES"/>
        </w:rPr>
        <w:t>References</w:t>
      </w:r>
      <w:bookmarkEnd w:id="17"/>
    </w:p>
    <w:p w:rsidR="00A04DFD" w:rsidRDefault="004A3DF5">
      <w:pPr>
        <w:pStyle w:val="Bibliography"/>
      </w:pPr>
      <w:bookmarkStart w:id="18" w:name="ref-engel2017neural"/>
      <w:bookmarkStart w:id="19" w:name="refs"/>
      <w:r w:rsidRPr="00FE7E0E">
        <w:rPr>
          <w:lang w:val="es-ES"/>
        </w:rPr>
        <w:t xml:space="preserve">ENGEL, J. </w:t>
      </w:r>
      <w:r w:rsidRPr="00FE7E0E">
        <w:rPr>
          <w:i/>
          <w:lang w:val="es-ES"/>
        </w:rPr>
        <w:t>et al.</w:t>
      </w:r>
      <w:r w:rsidRPr="00FE7E0E">
        <w:rPr>
          <w:lang w:val="es-ES"/>
        </w:rPr>
        <w:t xml:space="preserve"> </w:t>
      </w:r>
      <w:r>
        <w:t xml:space="preserve">Neural audio synthesis of musical notes with wavenet autoencoders. </w:t>
      </w:r>
      <w:r>
        <w:rPr>
          <w:b/>
        </w:rPr>
        <w:t>arXiv preprint arXiv:1704.01279</w:t>
      </w:r>
      <w:r>
        <w:t xml:space="preserve">, 2017. </w:t>
      </w:r>
    </w:p>
    <w:p w:rsidR="00A04DFD" w:rsidRDefault="004A3DF5">
      <w:pPr>
        <w:pStyle w:val="Bibliography"/>
      </w:pPr>
      <w:bookmarkStart w:id="20" w:name="ref-fletcher1964normal"/>
      <w:bookmarkEnd w:id="18"/>
      <w:r>
        <w:t xml:space="preserve">FLETCHER, H. Normal vibration frequencies of a stiff piano string. </w:t>
      </w:r>
      <w:r>
        <w:rPr>
          <w:b/>
        </w:rPr>
        <w:t>The Journal of the Acoustical Society of America</w:t>
      </w:r>
      <w:r>
        <w:t xml:space="preserve">, v. 36, n. 1, p. 203–209, 1964. </w:t>
      </w:r>
    </w:p>
    <w:p w:rsidR="00A04DFD" w:rsidRDefault="004A3DF5">
      <w:pPr>
        <w:pStyle w:val="Bibliography"/>
      </w:pPr>
      <w:bookmarkStart w:id="21" w:name="ref-gully2017articulatory"/>
      <w:bookmarkEnd w:id="20"/>
      <w:r>
        <w:t xml:space="preserve">GULLY, A. J. </w:t>
      </w:r>
      <w:r>
        <w:rPr>
          <w:i/>
        </w:rPr>
        <w:t>et al.</w:t>
      </w:r>
      <w:r>
        <w:t xml:space="preserve"> Articulatory Text-to-Speech Synthesis using the</w:t>
      </w:r>
      <w:r>
        <w:t xml:space="preserve"> Digital Waveguide Mesh driven by a Deep Neural Network. </w:t>
      </w:r>
      <w:r>
        <w:rPr>
          <w:b/>
        </w:rPr>
        <w:t>Proc. Interspeech 2017</w:t>
      </w:r>
      <w:r>
        <w:t xml:space="preserve">, p. 234–238, 2017. </w:t>
      </w:r>
    </w:p>
    <w:p w:rsidR="00A04DFD" w:rsidRDefault="004A3DF5">
      <w:pPr>
        <w:pStyle w:val="Bibliography"/>
      </w:pPr>
      <w:bookmarkStart w:id="22" w:name="ref-karjalainen2004digital"/>
      <w:bookmarkEnd w:id="21"/>
      <w:r>
        <w:t xml:space="preserve">KARJALAINEN, M.; ERKUT, C. Digital waveguides versus finite difference structures: Equivalence and mixed modeling. </w:t>
      </w:r>
      <w:r>
        <w:rPr>
          <w:b/>
        </w:rPr>
        <w:t>EURASIP Journal on Applied Signal Processing</w:t>
      </w:r>
      <w:r>
        <w:t xml:space="preserve">, v. 2004, p. 978–989, 2004. </w:t>
      </w:r>
    </w:p>
    <w:p w:rsidR="00A04DFD" w:rsidRPr="00FE7E0E" w:rsidRDefault="004A3DF5">
      <w:pPr>
        <w:pStyle w:val="Bibliography"/>
        <w:rPr>
          <w:lang w:val="pt-BR"/>
        </w:rPr>
      </w:pPr>
      <w:bookmarkStart w:id="23" w:name="ref-koenig2014spectral"/>
      <w:bookmarkEnd w:id="22"/>
      <w:r>
        <w:t xml:space="preserve">KOENIG, D. M. </w:t>
      </w:r>
      <w:r>
        <w:rPr>
          <w:b/>
        </w:rPr>
        <w:t>Spectral analysis of musical sounds with emphasis on the piano</w:t>
      </w:r>
      <w:r>
        <w:t xml:space="preserve">. </w:t>
      </w:r>
      <w:r w:rsidRPr="00FE7E0E">
        <w:rPr>
          <w:lang w:val="pt-BR"/>
        </w:rPr>
        <w:t xml:space="preserve">Traducao. [s.l.] OUP Oxford, 2014. </w:t>
      </w:r>
    </w:p>
    <w:p w:rsidR="00A04DFD" w:rsidRPr="00FE7E0E" w:rsidRDefault="004A3DF5">
      <w:pPr>
        <w:pStyle w:val="Bibliography"/>
        <w:rPr>
          <w:lang w:val="pt-BR"/>
        </w:rPr>
      </w:pPr>
      <w:bookmarkStart w:id="24" w:name="ref-magenta"/>
      <w:bookmarkEnd w:id="23"/>
      <w:r w:rsidRPr="00FE7E0E">
        <w:rPr>
          <w:b/>
          <w:lang w:val="pt-BR"/>
        </w:rPr>
        <w:t>Magenta</w:t>
      </w:r>
      <w:r w:rsidRPr="00FE7E0E">
        <w:rPr>
          <w:lang w:val="pt-BR"/>
        </w:rPr>
        <w:t xml:space="preserve">. </w:t>
      </w:r>
      <w:r w:rsidRPr="00FE7E0E">
        <w:rPr>
          <w:b/>
          <w:lang w:val="pt-BR"/>
        </w:rPr>
        <w:t>Magenta</w:t>
      </w:r>
      <w:r w:rsidRPr="00FE7E0E">
        <w:rPr>
          <w:lang w:val="pt-BR"/>
        </w:rPr>
        <w:t>, [s.d.]. Disponível em: &lt;</w:t>
      </w:r>
      <w:hyperlink r:id="rId18">
        <w:r w:rsidRPr="00FE7E0E">
          <w:rPr>
            <w:rStyle w:val="Hyperlink"/>
            <w:lang w:val="pt-BR"/>
          </w:rPr>
          <w:t>https://magenta.tensorflow.org/</w:t>
        </w:r>
      </w:hyperlink>
      <w:r w:rsidRPr="00FE7E0E">
        <w:rPr>
          <w:lang w:val="pt-BR"/>
        </w:rPr>
        <w:t>&gt;</w:t>
      </w:r>
    </w:p>
    <w:p w:rsidR="00A04DFD" w:rsidRPr="00FE7E0E" w:rsidRDefault="004A3DF5">
      <w:pPr>
        <w:pStyle w:val="Bibliography"/>
        <w:rPr>
          <w:lang w:val="pt-BR"/>
        </w:rPr>
      </w:pPr>
      <w:bookmarkStart w:id="25" w:name="ref-iowa"/>
      <w:bookmarkEnd w:id="24"/>
      <w:r>
        <w:rPr>
          <w:b/>
        </w:rPr>
        <w:t>Musical Instrument Samples</w:t>
      </w:r>
      <w:r>
        <w:t xml:space="preserve">. </w:t>
      </w:r>
      <w:r>
        <w:rPr>
          <w:b/>
        </w:rPr>
        <w:t>University of Iowa Electronic Music Studios</w:t>
      </w:r>
      <w:r>
        <w:t xml:space="preserve">, [s.d.]. </w:t>
      </w:r>
      <w:r w:rsidRPr="00FE7E0E">
        <w:rPr>
          <w:lang w:val="pt-BR"/>
        </w:rPr>
        <w:t>Disponível em: &lt;</w:t>
      </w:r>
      <w:hyperlink r:id="rId19">
        <w:r w:rsidRPr="00FE7E0E">
          <w:rPr>
            <w:rStyle w:val="Hyperlink"/>
            <w:lang w:val="pt-BR"/>
          </w:rPr>
          <w:t>http://theremin.music.uiowa.edu/MIS.html</w:t>
        </w:r>
      </w:hyperlink>
      <w:r w:rsidRPr="00FE7E0E">
        <w:rPr>
          <w:lang w:val="pt-BR"/>
        </w:rPr>
        <w:t>&gt;</w:t>
      </w:r>
    </w:p>
    <w:p w:rsidR="00A04DFD" w:rsidRDefault="004A3DF5">
      <w:pPr>
        <w:pStyle w:val="Bibliography"/>
      </w:pPr>
      <w:bookmarkStart w:id="26" w:name="ref-roberts2018learning"/>
      <w:bookmarkEnd w:id="25"/>
      <w:r w:rsidRPr="00FE7E0E">
        <w:rPr>
          <w:lang w:val="pt-BR"/>
        </w:rPr>
        <w:t xml:space="preserve">ROBERTS, A. </w:t>
      </w:r>
      <w:r w:rsidRPr="00FE7E0E">
        <w:rPr>
          <w:i/>
          <w:lang w:val="pt-BR"/>
        </w:rPr>
        <w:t>et al.</w:t>
      </w:r>
      <w:r w:rsidRPr="00FE7E0E">
        <w:rPr>
          <w:lang w:val="pt-BR"/>
        </w:rPr>
        <w:t xml:space="preserve"> </w:t>
      </w:r>
      <w:r>
        <w:t xml:space="preserve">Learning Latent Representations of Music to Generate Interactive Musical Palettes. 2018. </w:t>
      </w:r>
    </w:p>
    <w:p w:rsidR="00A04DFD" w:rsidRDefault="004A3DF5">
      <w:pPr>
        <w:pStyle w:val="Bibliography"/>
      </w:pPr>
      <w:bookmarkStart w:id="27" w:name="ref-roberts2018hierarchical"/>
      <w:bookmarkEnd w:id="26"/>
      <w:r>
        <w:t xml:space="preserve">___.. A Hierarchical Latent Vector Model for Learning Long-Term Structure in Music. </w:t>
      </w:r>
      <w:r>
        <w:rPr>
          <w:b/>
        </w:rPr>
        <w:t>arXiv preprint arXiv:1803.05428</w:t>
      </w:r>
      <w:r>
        <w:t xml:space="preserve">, 2018. </w:t>
      </w:r>
    </w:p>
    <w:p w:rsidR="00A04DFD" w:rsidRDefault="004A3DF5">
      <w:pPr>
        <w:pStyle w:val="Bibliography"/>
      </w:pPr>
      <w:bookmarkStart w:id="28" w:name="ref-smith2008digital"/>
      <w:bookmarkEnd w:id="27"/>
      <w:r>
        <w:t>SMITH, J. O. Digital w</w:t>
      </w:r>
      <w:r>
        <w:t xml:space="preserve">aveguide architectures for virtual musical instruments. </w:t>
      </w:r>
      <w:r>
        <w:rPr>
          <w:i/>
        </w:rPr>
        <w:t>In</w:t>
      </w:r>
      <w:r>
        <w:t xml:space="preserve">: </w:t>
      </w:r>
      <w:r>
        <w:rPr>
          <w:b/>
        </w:rPr>
        <w:t>Handbook of Signal Processing in Acoustics</w:t>
      </w:r>
      <w:r>
        <w:t xml:space="preserve">. Traducao. [s.l.] Springer, 2008. p. 399–417. </w:t>
      </w:r>
    </w:p>
    <w:p w:rsidR="00A04DFD" w:rsidRPr="00FE7E0E" w:rsidRDefault="004A3DF5">
      <w:pPr>
        <w:pStyle w:val="Bibliography"/>
        <w:rPr>
          <w:lang w:val="pt-BR"/>
        </w:rPr>
      </w:pPr>
      <w:bookmarkStart w:id="29" w:name="ref-staudt2016development"/>
      <w:bookmarkEnd w:id="28"/>
      <w:r>
        <w:t xml:space="preserve">STAUDT, P. Development of a Digital Musical Instrument with Embedded Sound Synthesis. </w:t>
      </w:r>
      <w:r w:rsidRPr="00FE7E0E">
        <w:rPr>
          <w:lang w:val="pt-BR"/>
        </w:rPr>
        <w:t xml:space="preserve">2016. </w:t>
      </w:r>
    </w:p>
    <w:p w:rsidR="00A04DFD" w:rsidRPr="00FE7E0E" w:rsidRDefault="004A3DF5">
      <w:pPr>
        <w:pStyle w:val="Bibliography"/>
        <w:rPr>
          <w:lang w:val="pt-BR"/>
        </w:rPr>
      </w:pPr>
      <w:bookmarkStart w:id="30" w:name="ref-tesserato_2018"/>
      <w:bookmarkEnd w:id="29"/>
      <w:r w:rsidRPr="00FE7E0E">
        <w:rPr>
          <w:lang w:val="pt-BR"/>
        </w:rPr>
        <w:lastRenderedPageBreak/>
        <w:t xml:space="preserve">TESSERATO. </w:t>
      </w:r>
      <w:r w:rsidRPr="00FE7E0E">
        <w:rPr>
          <w:b/>
          <w:lang w:val="pt-BR"/>
        </w:rPr>
        <w:t>te</w:t>
      </w:r>
      <w:r w:rsidRPr="00FE7E0E">
        <w:rPr>
          <w:b/>
          <w:lang w:val="pt-BR"/>
        </w:rPr>
        <w:t>sserato/tesserato.github.ioGitHub</w:t>
      </w:r>
      <w:r w:rsidRPr="00FE7E0E">
        <w:rPr>
          <w:lang w:val="pt-BR"/>
        </w:rPr>
        <w:t>Carlos Tarjano,, jul. 2018. Disponível em: &lt;</w:t>
      </w:r>
      <w:hyperlink r:id="rId20">
        <w:r w:rsidRPr="00FE7E0E">
          <w:rPr>
            <w:rStyle w:val="Hyperlink"/>
            <w:lang w:val="pt-BR"/>
          </w:rPr>
          <w:t>https://github.com/tesserato/tesserato.github.io</w:t>
        </w:r>
      </w:hyperlink>
      <w:r w:rsidRPr="00FE7E0E">
        <w:rPr>
          <w:lang w:val="pt-BR"/>
        </w:rPr>
        <w:t>&gt;</w:t>
      </w:r>
    </w:p>
    <w:p w:rsidR="00A04DFD" w:rsidRPr="00FE7E0E" w:rsidRDefault="004A3DF5">
      <w:pPr>
        <w:pStyle w:val="Bibliography"/>
        <w:rPr>
          <w:lang w:val="pt-BR"/>
        </w:rPr>
      </w:pPr>
      <w:bookmarkStart w:id="31" w:name="ref-tung_2006"/>
      <w:bookmarkEnd w:id="30"/>
      <w:r>
        <w:t xml:space="preserve">TUNG, B. </w:t>
      </w:r>
      <w:r>
        <w:rPr>
          <w:b/>
        </w:rPr>
        <w:t>the Railsback Curvethe Railsback Curve</w:t>
      </w:r>
      <w:r>
        <w:t>Wikimedia Comm</w:t>
      </w:r>
      <w:r>
        <w:t xml:space="preserve">ons,, jun. 2006. </w:t>
      </w:r>
      <w:r w:rsidRPr="00FE7E0E">
        <w:rPr>
          <w:lang w:val="pt-BR"/>
        </w:rPr>
        <w:t>Disponível em: &lt;</w:t>
      </w:r>
      <w:hyperlink r:id="rId21">
        <w:r w:rsidRPr="00FE7E0E">
          <w:rPr>
            <w:rStyle w:val="Hyperlink"/>
            <w:lang w:val="pt-BR"/>
          </w:rPr>
          <w:t>https://commons.wikimedia.org/wiki/File:Railsback2.png</w:t>
        </w:r>
      </w:hyperlink>
      <w:r w:rsidRPr="00FE7E0E">
        <w:rPr>
          <w:lang w:val="pt-BR"/>
        </w:rPr>
        <w:t>&gt;</w:t>
      </w:r>
    </w:p>
    <w:p w:rsidR="00A04DFD" w:rsidRDefault="004A3DF5">
      <w:pPr>
        <w:pStyle w:val="Bibliography"/>
      </w:pPr>
      <w:bookmarkStart w:id="32" w:name="ref-van2016wavenet"/>
      <w:bookmarkEnd w:id="31"/>
      <w:r w:rsidRPr="00FE7E0E">
        <w:rPr>
          <w:lang w:val="es-ES"/>
        </w:rPr>
        <w:t xml:space="preserve">VAN DEN OORD, A. </w:t>
      </w:r>
      <w:r w:rsidRPr="00FE7E0E">
        <w:rPr>
          <w:i/>
          <w:lang w:val="es-ES"/>
        </w:rPr>
        <w:t>et al.</w:t>
      </w:r>
      <w:r w:rsidRPr="00FE7E0E">
        <w:rPr>
          <w:lang w:val="es-ES"/>
        </w:rPr>
        <w:t xml:space="preserve"> </w:t>
      </w:r>
      <w:r>
        <w:t xml:space="preserve">Wavenet: A generative model for raw audio. </w:t>
      </w:r>
      <w:r>
        <w:rPr>
          <w:b/>
        </w:rPr>
        <w:t>arXiv preprint arXiv:1609.</w:t>
      </w:r>
      <w:r>
        <w:rPr>
          <w:b/>
        </w:rPr>
        <w:t>03499</w:t>
      </w:r>
      <w:r>
        <w:t xml:space="preserve">, 2016. </w:t>
      </w:r>
      <w:bookmarkEnd w:id="19"/>
      <w:bookmarkEnd w:id="32"/>
    </w:p>
    <w:sectPr w:rsidR="00A04DF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3DF5" w:rsidRDefault="004A3DF5">
      <w:pPr>
        <w:spacing w:after="0"/>
      </w:pPr>
      <w:r>
        <w:separator/>
      </w:r>
    </w:p>
  </w:endnote>
  <w:endnote w:type="continuationSeparator" w:id="0">
    <w:p w:rsidR="004A3DF5" w:rsidRDefault="004A3D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3DF5" w:rsidRDefault="004A3DF5">
      <w:r>
        <w:separator/>
      </w:r>
    </w:p>
  </w:footnote>
  <w:footnote w:type="continuationSeparator" w:id="0">
    <w:p w:rsidR="004A3DF5" w:rsidRDefault="004A3D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253A96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09E26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4A3DF5"/>
    <w:rsid w:val="004E29B3"/>
    <w:rsid w:val="00590D07"/>
    <w:rsid w:val="00784D58"/>
    <w:rsid w:val="008D6863"/>
    <w:rsid w:val="00A04DFD"/>
    <w:rsid w:val="00B86B75"/>
    <w:rsid w:val="00BC48D5"/>
    <w:rsid w:val="00C36279"/>
    <w:rsid w:val="00E315A3"/>
    <w:rsid w:val="00FE7E0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4B934E-7A0E-4D12-87B0-C83A252D3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FE7E0E"/>
    <w:pPr>
      <w:spacing w:before="180" w:after="180"/>
      <w:jc w:val="both"/>
    </w:pPr>
  </w:style>
  <w:style w:type="paragraph" w:customStyle="1" w:styleId="FirstParagraph">
    <w:name w:val="First Paragraph"/>
    <w:basedOn w:val="BodyText"/>
    <w:next w:val="BodyText"/>
    <w:autoRedefine/>
    <w:qFormat/>
    <w:rsid w:val="00FE7E0E"/>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FE7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magenta.tensorflow.org/" TargetMode="External"/><Relationship Id="rId3" Type="http://schemas.openxmlformats.org/officeDocument/2006/relationships/settings" Target="settings.xml"/><Relationship Id="rId21" Type="http://schemas.openxmlformats.org/officeDocument/2006/relationships/hyperlink" Target="https://commons.wikimedia.org/wiki/File:Railsback2.p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oundcloud.com/carlos-tarjano/sets/spectral-neural-synthesi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tesserato/tesserato.github.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theremin.music.uiowa.edu/MI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4212</Words>
  <Characters>22750</Characters>
  <Application>Microsoft Office Word</Application>
  <DocSecurity>0</DocSecurity>
  <Lines>189</Lines>
  <Paragraphs>53</Paragraphs>
  <ScaleCrop>false</ScaleCrop>
  <Company/>
  <LinksUpToDate>false</LinksUpToDate>
  <CharactersWithSpaces>26909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Neuro-Spectral Audio Synthesis: Exploiting characteristics of the Discrete Fourier Transform in the real-time simulation of musical instruments using parallel Neural Networks</dc:title>
  <dc:creator>Carlos Tarjano</dc:creator>
  <cp:keywords/>
  <cp:lastModifiedBy>Carlos Tarjano</cp:lastModifiedBy>
  <cp:revision>2</cp:revision>
  <dcterms:created xsi:type="dcterms:W3CDTF">2018-07-15T19:15:00Z</dcterms:created>
  <dcterms:modified xsi:type="dcterms:W3CDTF">2018-07-15T19:20:00Z</dcterms:modified>
</cp:coreProperties>
</file>