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(v1.2)</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M1–M18, 228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and data principles</w:t>
      </w:r>
      <w:r>
        <w:t xml:space="preserve"> </w:t>
      </w:r>
      <w:r>
        <w:t xml:space="preserve">— adapters, and the rules the schema obeys</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roles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2" w:name="module-requirements-and-user-stories"/>
    <w:p>
      <w:pPr>
        <w:pStyle w:val="Heading2"/>
      </w:pPr>
      <w:r>
        <w:t xml:space="preserve">6.</w:t>
      </w:r>
      <w:r>
        <w:t xml:space="preserve"> </w:t>
      </w:r>
      <w:r>
        <w:t xml:space="preserve">Module requirements and user stories</w:t>
      </w:r>
    </w:p>
    <w:p>
      <w:pPr>
        <w:pStyle w:val="FirstParagraph"/>
      </w:pPr>
      <w:r>
        <w:t xml:space="preserve">Eighteen modules, each with its scope, its rules and its high-level stories. Seventeen are free to every organisation; the eighteenth is the premium AI tier of §5.6.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email optional. Roles scoped to</w:t>
      </w:r>
      <w:r>
        <w:t xml:space="preserve"> </w:t>
      </w:r>
      <w:r>
        <w:rPr>
          <w:rStyle w:val="VerbatimChar"/>
        </w:rPr>
        <w:t xml:space="preserve">(organisation, property, unit)</w:t>
      </w:r>
      <w:r>
        <w:t xml:space="preserve">. A manager acting for an owner always traverses an explicit mandate. Authorisation is fail-closed at the service boundary. Context switching between organisations is explicit and visible.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m15-sales-listings-and-brokerage"/>
    <w:p>
      <w:pPr>
        <w:pStyle w:val="Heading3"/>
      </w:pPr>
      <w:r>
        <w:t xml:space="preserve">M15 · Sales, listings and brokerage</w:t>
      </w:r>
    </w:p>
    <w:p>
      <w:pPr>
        <w:pStyle w:val="FirstParagraph"/>
      </w:pPr>
      <w:r>
        <w:rPr>
          <w:b/>
          <w:bCs/>
        </w:rPr>
        <w:t xml:space="preserve">Purpose.</w:t>
      </w:r>
      <w:r>
        <w:t xml:space="preserve"> </w:t>
      </w:r>
      <w:r>
        <w:t xml:space="preserve">Extend the platform from operating a property to transacting it — filling a vacancy, and ultimately selling the asset — using the tenancy, maintenance and document history the platform already holds.</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End w:id="62"/>
    <w:bookmarkStart w:id="75"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3"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3"/>
    <w:bookmarkStart w:id="72" w:name="non-negotiable-mobile-principles"/>
    <w:p>
      <w:pPr>
        <w:pStyle w:val="Heading3"/>
      </w:pPr>
      <w:r>
        <w:t xml:space="preserve">7.2 Non-negotiable mobile principles</w:t>
      </w:r>
    </w:p>
    <w:bookmarkStart w:id="64"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4"/>
    <w:bookmarkStart w:id="65"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5"/>
    <w:bookmarkStart w:id="66"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6"/>
    <w:bookmarkStart w:id="67"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7"/>
    <w:bookmarkStart w:id="68"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8"/>
    <w:bookmarkStart w:id="69"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69"/>
    <w:bookmarkStart w:id="70"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0"/>
    <w:bookmarkStart w:id="71"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1"/>
    <w:bookmarkEnd w:id="72"/>
    <w:bookmarkStart w:id="73"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3"/>
    <w:bookmarkStart w:id="74" w:name="Xf76400b0ecce32433d6b2cd7d25a3f56e180caf"/>
    <w:p>
      <w:pPr>
        <w:pStyle w:val="Heading3"/>
      </w:pPr>
      <w:r>
        <w:t xml:space="preserve">7.4 Web surfaces — and the Admin surface across both</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4"/>
    <w:bookmarkEnd w:id="75"/>
    <w:bookmarkStart w:id="81"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6"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6"/>
    <w:bookmarkStart w:id="77"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7"/>
    <w:bookmarkStart w:id="78"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8"/>
    <w:bookmarkStart w:id="79"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79"/>
    <w:bookmarkStart w:id="80"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0"/>
    <w:bookmarkEnd w:id="81"/>
    <w:bookmarkStart w:id="84" w:name="integrations-and-data-principles"/>
    <w:p>
      <w:pPr>
        <w:pStyle w:val="Heading2"/>
      </w:pPr>
      <w:r>
        <w:t xml:space="preserve">9.</w:t>
      </w:r>
      <w:r>
        <w:t xml:space="preserve"> </w:t>
      </w:r>
      <w:r>
        <w:t xml:space="preserve">Integrations and data principles</w:t>
      </w:r>
    </w:p>
    <w:bookmarkStart w:id="82"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2"/>
    <w:bookmarkStart w:id="83"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3"/>
    <w:bookmarkEnd w:id="84"/>
    <w:bookmarkStart w:id="85"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authorisation at the service boundary.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85"/>
    <w:bookmarkStart w:id="86"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86"/>
    <w:bookmarkStart w:id="87"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87"/>
    <w:bookmarkStart w:id="91" w:name="assumptions-and-open-decisions"/>
    <w:p>
      <w:pPr>
        <w:pStyle w:val="Heading2"/>
      </w:pPr>
      <w:r>
        <w:t xml:space="preserve">13.</w:t>
      </w:r>
      <w:r>
        <w:t xml:space="preserve"> </w:t>
      </w:r>
      <w:r>
        <w:t xml:space="preserve">Assumptions and open decisions</w:t>
      </w:r>
    </w:p>
    <w:bookmarkStart w:id="88" w:name="assumptions-this-document-makes"/>
    <w:p>
      <w:pPr>
        <w:pStyle w:val="Heading3"/>
      </w:pPr>
      <w:r>
        <w:t xml:space="preserve">11.1 Assumptions this document makes</w:t>
      </w:r>
    </w:p>
    <w:p>
      <w:pPr>
        <w:pStyle w:val="Compact"/>
        <w:numPr>
          <w:ilvl w:val="0"/>
          <w:numId w:val="1014"/>
        </w:numPr>
      </w:pPr>
      <w:r>
        <w:t xml:space="preserve">Launch is India-only, in a small number of states chosen by e-stamping and verification coverage rather than by market size.</w:t>
      </w:r>
    </w:p>
    <w:p>
      <w:pPr>
        <w:pStyle w:val="Compact"/>
        <w:numPr>
          <w:ilvl w:val="0"/>
          <w:numId w:val="1014"/>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4"/>
        </w:numPr>
      </w:pPr>
      <w:r>
        <w:t xml:space="preserve">Aggregator cost is netted from the 3.9%, so margin varies by payment instrument and must be monitored per instrument from launch.</w:t>
      </w:r>
    </w:p>
    <w:p>
      <w:pPr>
        <w:pStyle w:val="Compact"/>
        <w:numPr>
          <w:ilvl w:val="0"/>
          <w:numId w:val="1014"/>
        </w:numPr>
      </w:pPr>
      <w:r>
        <w:t xml:space="preserve">AI is never load-bearing: a non-paying organisation can operate a property end to end with no blocked action.</w:t>
      </w:r>
    </w:p>
    <w:p>
      <w:pPr>
        <w:pStyle w:val="Compact"/>
        <w:numPr>
          <w:ilvl w:val="0"/>
          <w:numId w:val="1014"/>
        </w:numPr>
      </w:pPr>
      <w:r>
        <w:t xml:space="preserve">Rentora never holds client funds. Every design here assumes settlement through a regulated aggregator.</w:t>
      </w:r>
    </w:p>
    <w:p>
      <w:pPr>
        <w:pStyle w:val="Compact"/>
        <w:numPr>
          <w:ilvl w:val="0"/>
          <w:numId w:val="1014"/>
        </w:numPr>
      </w:pPr>
      <w:r>
        <w:t xml:space="preserve">Residential is the beachhead. Hostel and commercial reuse the same core and are sequenced after the manager platform exists.</w:t>
      </w:r>
    </w:p>
    <w:p>
      <w:pPr>
        <w:pStyle w:val="Compact"/>
        <w:numPr>
          <w:ilvl w:val="0"/>
          <w:numId w:val="1014"/>
        </w:numPr>
      </w:pPr>
      <w:r>
        <w:t xml:space="preserve">Sales is an extension of an operating relationship, not a standalone portal business. Rentora will not win a listings-portal fight and does not attempt one.</w:t>
      </w:r>
    </w:p>
    <w:p>
      <w:pPr>
        <w:pStyle w:val="Compact"/>
        <w:numPr>
          <w:ilvl w:val="0"/>
          <w:numId w:val="1014"/>
        </w:numPr>
      </w:pPr>
      <w:r>
        <w:t xml:space="preserve">Technicians are partner-employed. The platform must not drift into a de facto employment relationship.</w:t>
      </w:r>
    </w:p>
    <w:p>
      <w:pPr>
        <w:pStyle w:val="Compact"/>
        <w:numPr>
          <w:ilvl w:val="0"/>
          <w:numId w:val="1014"/>
        </w:numPr>
      </w:pPr>
      <w:r>
        <w:t xml:space="preserve">WhatsApp remains an available and economically viable primary channel; SMS fallback is proven before launch.</w:t>
      </w:r>
    </w:p>
    <w:bookmarkEnd w:id="88"/>
    <w:bookmarkStart w:id="89"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t xml:space="preserve">Mobile framework</w:t>
            </w:r>
          </w:p>
        </w:tc>
        <w:tc>
          <w:tcPr/>
          <w:p>
            <w:pPr>
              <w:pStyle w:val="Compact"/>
            </w:pPr>
            <w:r>
              <w:t xml:space="preserve">Five apps depend on it, including Admin; reversing the choice later is a rebuild</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89"/>
    <w:bookmarkStart w:id="90"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1.2 makes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2026-07-29T10:43:51Z</dcterms:created>
  <dcterms:modified xsi:type="dcterms:W3CDTF">2026-07-29T10:43:51Z</dcterms:modified>
</cp:coreProperties>
</file>

<file path=docProps/custom.xml><?xml version="1.0" encoding="utf-8"?>
<Properties xmlns="http://schemas.openxmlformats.org/officeDocument/2006/custom-properties" xmlns:vt="http://schemas.openxmlformats.org/officeDocument/2006/docPropsVTypes"/>
</file>