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(v1.4)</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flat 3.9% platform fee on in-app payments;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M1–M18, 241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stack and identity</w:t>
      </w:r>
      <w:r>
        <w:t xml:space="preserve"> </w:t>
      </w:r>
      <w:r>
        <w:t xml:space="preserve">— adapters, schema rules, technology choices, and the authorisation model</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Rentora Live app</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relationships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1"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platform fee on every in-app payment (no subscriptions)</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7"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on every payment transacted through the app.</w:t>
      </w:r>
      <w:r>
        <w:t xml:space="preserve"> </w:t>
      </w:r>
      <w:r>
        <w:t xml:space="preserve">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t xml:space="preserve">Rent, hostel fee, society dues, CAM, utilities collected in-app</w:t>
            </w:r>
          </w:p>
        </w:tc>
        <w:tc>
          <w:tcPr/>
          <w:p>
            <w:pPr>
              <w:pStyle w:val="Compact"/>
            </w:pPr>
            <w:r>
              <w:rPr>
                <w:b/>
                <w:bCs/>
              </w:rPr>
              <w:t xml:space="preserve">Yes — 3.9%</w:t>
            </w:r>
          </w:p>
        </w:tc>
        <w:tc>
          <w:tcPr/>
          <w:p>
            <w:pPr>
              <w:pStyle w:val="Compact"/>
            </w:pPr>
            <w:r>
              <w:t xml:space="preserve">The primary and highest-volume stream</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t xml:space="preserve">Owner payouts</w:t>
            </w:r>
          </w:p>
        </w:tc>
        <w:tc>
          <w:tcPr/>
          <w:p>
            <w:pPr>
              <w:pStyle w:val="Compact"/>
            </w:pPr>
            <w:r>
              <w:t xml:space="preserve">No</w:t>
            </w:r>
          </w:p>
        </w:tc>
        <w:tc>
          <w:tcPr/>
          <w:p>
            <w:pPr>
              <w:pStyle w:val="Compact"/>
            </w:pPr>
            <w:r>
              <w:t xml:space="preserve">The fee was already taken on the inbound leg; charging both sides is double-dipping</w:t>
            </w:r>
          </w:p>
        </w:tc>
      </w:tr>
    </w:tbl>
    <w:p>
      <w:pPr>
        <w:pStyle w:val="BodyText"/>
      </w:pPr>
      <w:r>
        <w:t xml:space="preserve">The design question the fee creates — and it must be answered before build</w:t>
      </w:r>
    </w:p>
    <w:p>
      <w:pPr>
        <w:pStyle w:val="BodyText"/>
      </w:pPr>
      <w:r>
        <w:t xml:space="preserve">On ₹27,500 of rent, 3.9% is ₹1,072 a month. Someone must bear it, and the choice changes behaviour:</w:t>
      </w:r>
      <w:r>
        <w:t xml:space="preserve"> </w:t>
      </w:r>
      <w:r>
        <w:rPr>
          <w:b/>
          <w:bCs/>
        </w:rPr>
        <w:t xml:space="preserve">charge the tenant</w:t>
      </w:r>
      <w:r>
        <w:t xml:space="preserve"> </w:t>
      </w:r>
      <w:r>
        <w:t xml:space="preserve">and they will pay in cash to avoid it;</w:t>
      </w:r>
      <w:r>
        <w:t xml:space="preserve"> </w:t>
      </w:r>
      <w:r>
        <w:rPr>
          <w:b/>
          <w:bCs/>
        </w:rPr>
        <w:t xml:space="preserve">charge the owner</w:t>
      </w:r>
      <w:r>
        <w:t xml:space="preserve"> </w:t>
      </w:r>
      <w:r>
        <w:t xml:space="preserve">and they will notice it against their yield;</w:t>
      </w:r>
      <w:r>
        <w:t xml:space="preserve"> </w:t>
      </w:r>
      <w:r>
        <w:rPr>
          <w:b/>
          <w:bCs/>
        </w:rPr>
        <w:t xml:space="preserve">absorb it</w:t>
      </w:r>
      <w:r>
        <w:t xml:space="preserve"> </w:t>
      </w:r>
      <w:r>
        <w:t xml:space="preserve">and there is no business. The fee must therefore be a</w:t>
      </w:r>
      <w:r>
        <w:t xml:space="preserve"> </w:t>
      </w:r>
      <w:r>
        <w:rPr>
          <w:b/>
          <w:bCs/>
        </w:rPr>
        <w:t xml:space="preserve">configurable, disclosed bearer setting per organisation</w:t>
      </w:r>
      <w:r>
        <w:t xml:space="preserve"> </w:t>
      </w:r>
      <w:r>
        <w:t xml:space="preserve">— tenant-borne, owner-borne, manager-borne or split — computed by the ledger, shown on the invoice or statement before payment, and never a surprise line. Aggregator cost (UPI, cards, NACH, payouts) is netted from this 3.9%, so the</w:t>
      </w:r>
      <w:r>
        <w:t xml:space="preserve"> </w:t>
      </w:r>
      <w:r>
        <w:rPr>
          <w:i/>
          <w:iCs/>
        </w:rPr>
        <w:t xml:space="preserve">real</w:t>
      </w:r>
      <w:r>
        <w:t xml:space="preserve"> </w:t>
      </w:r>
      <w:r>
        <w:t xml:space="preserve">margin varies by instrument: card payments can approach or exceed the fee. Instrument-level margin monitoring is a launch requirement, not an analytics nicety. Recommendation: default to tenant-borne and disclosed for rent, marketplace-inclusive for jobs, with a per-organisation override.</w:t>
      </w:r>
    </w:p>
    <w:bookmarkEnd w:id="35"/>
    <w:bookmarkStart w:id="36"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of every in-app payment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6"/>
    <w:bookmarkEnd w:id="37"/>
    <w:bookmarkStart w:id="40"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38"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38"/>
    <w:bookmarkStart w:id="39"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39"/>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0"/>
    <w:bookmarkEnd w:id="41"/>
    <w:bookmarkStart w:id="62" w:name="module-requirements-and-user-stories"/>
    <w:p>
      <w:pPr>
        <w:pStyle w:val="Heading2"/>
      </w:pPr>
      <w:r>
        <w:t xml:space="preserve">6.</w:t>
      </w:r>
      <w:r>
        <w:t xml:space="preserve"> </w:t>
      </w:r>
      <w:r>
        <w:t xml:space="preserve">Module requirements and user stories</w:t>
      </w:r>
    </w:p>
    <w:p>
      <w:pPr>
        <w:pStyle w:val="FirstParagraph"/>
      </w:pPr>
      <w:r>
        <w:t xml:space="preserve">Eighteen modules, each with its scope, its rules and its high-level stories. Seventeen are free to every organisation; the eighteenth is the premium AI tier of §5.6. Stories are epic-level: each will decompose into several engineering stories on the delivery board using the standard template. Priorities are as defined in §2.2.</w:t>
      </w:r>
    </w:p>
    <w:bookmarkStart w:id="42"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through Google Identity Platform for</w:t>
      </w:r>
      <w:r>
        <w:t xml:space="preserve"> </w:t>
      </w:r>
      <w:r>
        <w:rPr>
          <w:i/>
          <w:iCs/>
        </w:rPr>
        <w:t xml:space="preserve">every</w:t>
      </w:r>
      <w:r>
        <w:t xml:space="preserve"> </w:t>
      </w:r>
      <w:r>
        <w:t xml:space="preserve">user, including platform admins. Authorisation is a fail-closed OpenFGA check at the service boundary, with RBAC roles layered on the relationship graph — a token never carries authority. Roles and relationships are scoped to</w:t>
      </w:r>
      <w:r>
        <w:t xml:space="preserve"> </w:t>
      </w:r>
      <w:r>
        <w:rPr>
          <w:rStyle w:val="VerbatimChar"/>
        </w:rPr>
        <w:t xml:space="preserve">(organisation, property, unit)</w:t>
      </w:r>
      <w:r>
        <w:t xml:space="preserve">. A manager acting for an owner always traverses an explicit, effective-dated mandate tuple. Context switching between organisations is explicit and visible. See §9.4.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2"/>
    <w:bookmarkStart w:id="43"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3"/>
    <w:bookmarkStart w:id="44"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4"/>
    <w:bookmarkStart w:id="45"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5"/>
    <w:bookmarkStart w:id="47"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6"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6"/>
    <w:bookmarkEnd w:id="47"/>
    <w:bookmarkStart w:id="48"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48"/>
    <w:bookmarkStart w:id="49"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49"/>
    <w:bookmarkStart w:id="51"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0"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0"/>
    <w:bookmarkEnd w:id="51"/>
    <w:bookmarkStart w:id="52"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2"/>
    <w:bookmarkStart w:id="53"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3"/>
    <w:bookmarkStart w:id="54"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4"/>
    <w:bookmarkStart w:id="55"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5"/>
    <w:bookmarkStart w:id="56"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6"/>
    <w:bookmarkStart w:id="57"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7"/>
    <w:bookmarkStart w:id="58"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58"/>
    <w:bookmarkStart w:id="59"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59"/>
    <w:bookmarkStart w:id="60"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0"/>
    <w:bookmarkStart w:id="61"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1"/>
    <w:bookmarkEnd w:id="62"/>
    <w:bookmarkStart w:id="75"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3"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3"/>
    <w:bookmarkStart w:id="72" w:name="non-negotiable-mobile-principles"/>
    <w:p>
      <w:pPr>
        <w:pStyle w:val="Heading3"/>
      </w:pPr>
      <w:r>
        <w:t xml:space="preserve">7.2 Non-negotiable mobile principles</w:t>
      </w:r>
    </w:p>
    <w:bookmarkStart w:id="64"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4"/>
    <w:bookmarkStart w:id="65"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5"/>
    <w:bookmarkStart w:id="66"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6"/>
    <w:bookmarkStart w:id="67"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67"/>
    <w:bookmarkStart w:id="68"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68"/>
    <w:bookmarkStart w:id="69"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69"/>
    <w:bookmarkStart w:id="70"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0"/>
    <w:bookmarkStart w:id="71"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1"/>
    <w:bookmarkEnd w:id="72"/>
    <w:bookmarkStart w:id="73"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3"/>
    <w:bookmarkStart w:id="74" w:name="Xf76400b0ecce32433d6b2cd7d25a3f56e180caf"/>
    <w:p>
      <w:pPr>
        <w:pStyle w:val="Heading3"/>
      </w:pPr>
      <w:r>
        <w:t xml:space="preserve">7.4 Web surfaces — and the Admin surface across both</w:t>
      </w:r>
    </w:p>
    <w:p>
      <w:pPr>
        <w:pStyle w:val="FirstParagraph"/>
      </w:pPr>
      <w:r>
        <w:t xml:space="preserve">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Manager back-office</w:t>
            </w:r>
            <w:r>
              <w:br/>
            </w:r>
            <w:r>
              <w:t xml:space="preserve">web primary, app companion</w:t>
            </w:r>
          </w:p>
        </w:tc>
        <w:tc>
          <w:tcPr/>
          <w:p>
            <w:pPr>
              <w:pStyle w:val="Compact"/>
            </w:pPr>
            <w:r>
              <w:t xml:space="preserve">Manager, accountant</w:t>
            </w:r>
          </w:p>
        </w:tc>
        <w:tc>
          <w:tcPr/>
          <w:p>
            <w:pPr>
              <w:pStyle w:val="Compact"/>
            </w:pPr>
            <w:r>
              <w:t xml:space="preserve">P1</w:t>
            </w:r>
          </w:p>
        </w:tc>
        <w:tc>
          <w:tcPr/>
          <w:p>
            <w:pPr>
              <w:pStyle w:val="Compact"/>
            </w:pPr>
            <w:r>
              <w:t xml:space="preserve">Portfolio tables of hundreds of units, accounting and statements, fee and mandate configuration, bulk import, reporting, staff and vendor administration.</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4"/>
    <w:bookmarkEnd w:id="75"/>
    <w:bookmarkStart w:id="81"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6"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6"/>
    <w:bookmarkStart w:id="77"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77"/>
    <w:bookmarkStart w:id="78"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78"/>
    <w:bookmarkStart w:id="79"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79"/>
    <w:bookmarkStart w:id="80"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0"/>
    <w:bookmarkEnd w:id="81"/>
    <w:bookmarkStart w:id="88" w:name="X68e6ad36dd04f0f98bb9f84a7148a59e905d6c8"/>
    <w:p>
      <w:pPr>
        <w:pStyle w:val="Heading2"/>
      </w:pPr>
      <w:r>
        <w:t xml:space="preserve">9.</w:t>
      </w:r>
      <w:r>
        <w:t xml:space="preserve"> </w:t>
      </w:r>
      <w:r>
        <w:t xml:space="preserve">Integrations, data principles and technology stack</w:t>
      </w:r>
    </w:p>
    <w:bookmarkStart w:id="82"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2"/>
    <w:bookmarkStart w:id="83"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3"/>
    <w:bookmarkStart w:id="84"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Go</w:t>
            </w:r>
            <w:r>
              <w:t xml:space="preserve"> </w:t>
            </w:r>
            <w:r>
              <w:t xml:space="preserve">with Gin</w:t>
            </w:r>
          </w:p>
        </w:tc>
        <w:tc>
          <w:tcPr/>
          <w:p>
            <w:pPr>
              <w:pStyle w:val="Compact"/>
            </w:pPr>
            <w:r>
              <w:t xml:space="preserve">Domain services per §2 boundaries; REST externally, gRPC internally where it earns its keep</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Identity</w:t>
            </w:r>
          </w:p>
        </w:tc>
        <w:tc>
          <w:tcPr/>
          <w:p>
            <w:pPr>
              <w:pStyle w:val="Compact"/>
            </w:pPr>
            <w:r>
              <w:rPr>
                <w:b/>
                <w:bCs/>
              </w:rPr>
              <w:t xml:space="preserve">Google Identity Platform</w:t>
            </w:r>
            <w:r>
              <w:t xml:space="preserve"> </w:t>
            </w:r>
            <w:r>
              <w:t xml:space="preserve">(Firebase Auth) for every user — consumers, staff and admin alike</w:t>
            </w:r>
          </w:p>
        </w:tc>
        <w:tc>
          <w:tcPr/>
          <w:p>
            <w:pPr>
              <w:pStyle w:val="Compact"/>
            </w:pPr>
            <w:r>
              <w:t xml:space="preserve">Phone OTP as the primary factor, matching the existing org apps; one provider, one integration, no second identity stack to operate</w:t>
            </w:r>
          </w:p>
        </w:tc>
      </w:tr>
      <w:tr>
        <w:tc>
          <w:tcPr/>
          <w:p>
            <w:pPr>
              <w:pStyle w:val="Compact"/>
            </w:pPr>
            <w:r>
              <w:t xml:space="preserve">Authorisation</w:t>
            </w:r>
          </w:p>
        </w:tc>
        <w:tc>
          <w:tcPr/>
          <w:p>
            <w:pPr>
              <w:pStyle w:val="Compact"/>
            </w:pPr>
            <w:r>
              <w:rPr>
                <w:b/>
                <w:bCs/>
              </w:rPr>
              <w:t xml:space="preserve">OpenFGA</w:t>
            </w:r>
            <w:r>
              <w:t xml:space="preserve"> </w:t>
            </w:r>
            <w:r>
              <w:t xml:space="preserve">for relationship-based access, with RBAC roles on top</w:t>
            </w:r>
          </w:p>
        </w:tc>
        <w:tc>
          <w:tcPr/>
          <w:p>
            <w:pPr>
              <w:pStyle w:val="Compact"/>
            </w:pPr>
            <w:r>
              <w:t xml:space="preserve">Fail-closed decisions at the service boundary; PostgreSQL row-level security stays as the second line of defence, not a replacement for it</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bookmarkEnd w:id="84"/>
    <w:bookmarkStart w:id="87" w:name="Xe83ae13ee07cde4a1d6f2f8975e5d014d1f0669"/>
    <w:p>
      <w:pPr>
        <w:pStyle w:val="Heading3"/>
      </w:pPr>
      <w:r>
        <w:t xml:space="preserve">9.4 Identity and authorisation — GIP everywhere, OpenFGA for permissions</w:t>
      </w:r>
    </w:p>
    <w:p>
      <w:pPr>
        <w:pStyle w:val="FirstParagraph"/>
      </w:pPr>
      <w:r>
        <w:t xml:space="preserve">Decided</w:t>
      </w:r>
    </w:p>
    <w:p>
      <w:pPr>
        <w:pStyle w:val="BodyText"/>
      </w:pPr>
      <w:r>
        <w:rPr>
          <w:b/>
          <w:bCs/>
        </w:rPr>
        <w:t xml:space="preserve">Authentication is Google Identity Platform for every user</w:t>
      </w:r>
      <w:r>
        <w:t xml:space="preserve"> </w:t>
      </w:r>
      <w:r>
        <w:t xml:space="preserve">— tenant, resident, guardian, prospect, owner, manager, field agent, warden, technician, agent and platform admin. There is no second identity provider and no Keycloak.</w:t>
      </w:r>
      <w:r>
        <w:t xml:space="preserve"> </w:t>
      </w:r>
      <w:r>
        <w:rPr>
          <w:b/>
          <w:bCs/>
        </w:rPr>
        <w:t xml:space="preserve">Authorisation is OpenFGA</w:t>
      </w:r>
      <w:r>
        <w:t xml:space="preserve">, with conventional RBAC roles layered on top of its relationship model. Authentication proves</w:t>
      </w:r>
      <w:r>
        <w:t xml:space="preserve"> </w:t>
      </w:r>
      <w:r>
        <w:rPr>
          <w:i/>
          <w:iCs/>
        </w:rPr>
        <w:t xml:space="preserve">who you are</w:t>
      </w:r>
      <w:r>
        <w:t xml:space="preserve">, exactly once; everything about</w:t>
      </w:r>
      <w:r>
        <w:t xml:space="preserve"> </w:t>
      </w:r>
      <w:r>
        <w:rPr>
          <w:i/>
          <w:iCs/>
        </w:rPr>
        <w:t xml:space="preserve">what you may do</w:t>
      </w:r>
      <w:r>
        <w:t xml:space="preserve"> </w:t>
      </w:r>
      <w:r>
        <w:t xml:space="preserve">is an authorisation decision made against the relationship graph.</w:t>
      </w:r>
    </w:p>
    <w:p>
      <w:pPr>
        <w:pStyle w:val="BodyText"/>
      </w:pPr>
      <w:r>
        <w:t xml:space="preserve">The separation matters because Rentora's permission model is inherently relational, not hierarchical. "This manager may approve spend on this unit because the owner granted a mandate scoped to it, which is still in force" is a relationship question, and expressing it as a role string in a token is how permission models rot.</w:t>
      </w:r>
    </w:p>
    <w:bookmarkStart w:id="85" w:name="what-this-gives-us"/>
    <w:p>
      <w:pPr>
        <w:pStyle w:val="Heading4"/>
      </w:pPr>
      <w:r>
        <w:t xml:space="preserve">What this gives us</w:t>
      </w:r>
    </w:p>
    <w:p>
      <w:pPr>
        <w:pStyle w:val="Compact"/>
        <w:numPr>
          <w:ilvl w:val="0"/>
          <w:numId w:val="1014"/>
        </w:numPr>
      </w:pPr>
      <w:r>
        <w:rPr>
          <w:b/>
          <w:bCs/>
        </w:rPr>
        <w:t xml:space="preserve">One identity integration.</w:t>
      </w:r>
      <w:r>
        <w:t xml:space="preserve"> </w:t>
      </w:r>
      <w:r>
        <w:t xml:space="preserve">Phone OTP is the primary factor for everyone, matching the apps already running in the org. Nothing to operate twice, and no user who exists in two providers.</w:t>
      </w:r>
    </w:p>
    <w:p>
      <w:pPr>
        <w:pStyle w:val="Compact"/>
        <w:numPr>
          <w:ilvl w:val="0"/>
          <w:numId w:val="1014"/>
        </w:numPr>
      </w:pPr>
      <w:r>
        <w:rPr>
          <w:b/>
          <w:bCs/>
        </w:rPr>
        <w:t xml:space="preserve">Relationships as first-class permissions.</w:t>
      </w:r>
      <w:r>
        <w:t xml:space="preserve"> </w:t>
      </w:r>
      <w:r>
        <w:t xml:space="preserve">Ownership, delegation mandates, staff assignment, committee membership, guardian-of, technician-assigned-to-job and agent-assigned-to-listing are all tuples in the same graph.</w:t>
      </w:r>
    </w:p>
    <w:p>
      <w:pPr>
        <w:pStyle w:val="Compact"/>
        <w:numPr>
          <w:ilvl w:val="0"/>
          <w:numId w:val="1014"/>
        </w:numPr>
      </w:pPr>
      <w:r>
        <w:rPr>
          <w:b/>
          <w:bCs/>
        </w:rPr>
        <w:t xml:space="preserve">Effective-dated authority genuinely enforced.</w:t>
      </w:r>
      <w:r>
        <w:t xml:space="preserve"> </w:t>
      </w:r>
      <w:r>
        <w:t xml:space="preserve">A revoked mandate or an expired committee term stops granting access because the tuple is gone, not because a nightly job remembered to strip a role.</w:t>
      </w:r>
    </w:p>
    <w:p>
      <w:pPr>
        <w:pStyle w:val="Compact"/>
        <w:numPr>
          <w:ilvl w:val="0"/>
          <w:numId w:val="1014"/>
        </w:numPr>
      </w:pPr>
      <w:r>
        <w:rPr>
          <w:b/>
          <w:bCs/>
        </w:rPr>
        <w:t xml:space="preserve">Auditable decisions.</w:t>
      </w:r>
      <w:r>
        <w:t xml:space="preserve"> </w:t>
      </w:r>
      <w:r>
        <w:t xml:space="preserve">Every check can be explained — which relationship granted it — which is exactly what an owner asking "how did my manager approve that" needs.</w:t>
      </w:r>
    </w:p>
    <w:bookmarkEnd w:id="85"/>
    <w:bookmarkStart w:id="86" w:name="the-rules-this-imposes"/>
    <w:p>
      <w:pPr>
        <w:pStyle w:val="Heading4"/>
      </w:pPr>
      <w:r>
        <w:t xml:space="preserve">The rules this imposes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Admin is not a super-user</w:t>
            </w:r>
          </w:p>
        </w:tc>
        <w:tc>
          <w:tcPr/>
          <w:p>
            <w:pPr>
              <w:pStyle w:val="Compact"/>
            </w:pPr>
            <w:r>
              <w:t xml:space="preserve">Platform staff authenticate through the same provider as everyone else and hold explicitly modelled administrative relationships. There is no implicit bypass, and elevated access is time-bound, justified and audited.</w:t>
            </w:r>
          </w:p>
        </w:tc>
      </w:tr>
      <w:tr>
        <w:tc>
          <w:tcPr/>
          <w:p>
            <w:pPr>
              <w:pStyle w:val="Compact"/>
            </w:pPr>
            <w:r>
              <w:t xml:space="preserve">Tokens carry identity, not authority</w:t>
            </w:r>
          </w:p>
        </w:tc>
        <w:tc>
          <w:tcPr/>
          <w:p>
            <w:pPr>
              <w:pStyle w:val="Compact"/>
            </w:pPr>
            <w:r>
              <w:t xml:space="preserve">A GIP token establishes the subject. It never carries a role list that a service trusts. Every authorisation decision is a check against the graph.</w:t>
            </w:r>
          </w:p>
        </w:tc>
      </w:tr>
      <w:tr>
        <w:tc>
          <w:tcPr/>
          <w:p>
            <w:pPr>
              <w:pStyle w:val="Compact"/>
            </w:pPr>
            <w:r>
              <w:t xml:space="preserve">OpenFGA does not replace row-level security</w:t>
            </w:r>
          </w:p>
        </w:tc>
        <w:tc>
          <w:tcPr/>
          <w:p>
            <w:pPr>
              <w:pStyle w:val="Compact"/>
            </w:pPr>
            <w:r>
              <w:t xml:space="preserve">The graph decides</w:t>
            </w:r>
            <w:r>
              <w:t xml:space="preserve"> </w:t>
            </w:r>
            <w:r>
              <w:rPr>
                <w:i/>
                <w:iCs/>
              </w:rPr>
              <w:t xml:space="preserve">whether</w:t>
            </w:r>
            <w:r>
              <w:t xml:space="preserve"> </w:t>
            </w:r>
            <w:r>
              <w:t xml:space="preserve">an action is permitted; the database still enforces tenant isolation on every query. Two independent mechanisms, and a bug in one must not be sufficient to leak data.</w:t>
            </w:r>
          </w:p>
        </w:tc>
      </w:tr>
      <w:tr>
        <w:tc>
          <w:tcPr/>
          <w:p>
            <w:pPr>
              <w:pStyle w:val="Compact"/>
            </w:pPr>
            <w:r>
              <w:t xml:space="preserve">Tuples are derived from domain events</w:t>
            </w:r>
          </w:p>
        </w:tc>
        <w:tc>
          <w:tcPr/>
          <w:p>
            <w:pPr>
              <w:pStyle w:val="Compact"/>
            </w:pPr>
            <w:r>
              <w:t xml:space="preserve">Ownership, mandate, staff assignment and occupancy changes write tuples transactionally with the domain change — never by a reconciliation job that can drift.</w:t>
            </w:r>
          </w:p>
        </w:tc>
      </w:tr>
      <w:tr>
        <w:tc>
          <w:tcPr/>
          <w:p>
            <w:pPr>
              <w:pStyle w:val="Compact"/>
            </w:pPr>
            <w:r>
              <w:t xml:space="preserve">Fail closed, always</w:t>
            </w:r>
          </w:p>
        </w:tc>
        <w:tc>
          <w:tcPr/>
          <w:p>
            <w:pPr>
              <w:pStyle w:val="Compact"/>
            </w:pPr>
            <w:r>
              <w:t xml:space="preserve">An unavailable or ambiguous authorisation decision denies. A degraded authorisation service degrades access, never expands it.</w:t>
            </w:r>
          </w:p>
        </w:tc>
      </w:tr>
      <w:tr>
        <w:tc>
          <w:tcPr/>
          <w:p>
            <w:pPr>
              <w:pStyle w:val="Compact"/>
            </w:pPr>
            <w:r>
              <w:t xml:space="preserve">Checks are on the critical path</w:t>
            </w:r>
          </w:p>
        </w:tc>
        <w:tc>
          <w:tcPr/>
          <w:p>
            <w:pPr>
              <w:pStyle w:val="Compact"/>
            </w:pPr>
            <w:r>
              <w:t xml:space="preserve">Every request incurs at least one check, so latency budget, caching strategy and cache invalidation on revocation are design requirements, not tuning work.</w:t>
            </w:r>
          </w:p>
        </w:tc>
      </w:tr>
      <w:tr>
        <w:tc>
          <w:tcPr/>
          <w:p>
            <w:pPr>
              <w:pStyle w:val="Compact"/>
            </w:pPr>
            <w:r>
              <w:t xml:space="preserve">Anonymous access is modelled too</w:t>
            </w:r>
          </w:p>
        </w:tc>
        <w:tc>
          <w:tcPr/>
          <w:p>
            <w:pPr>
              <w:pStyle w:val="Compact"/>
            </w:pPr>
            <w:r>
              <w:t xml:space="preserve">A prospect browsing listings has no identity. Public read access is an explicit relation in the model, not an unauthenticated code path that skips the check.</w:t>
            </w:r>
          </w:p>
        </w:tc>
      </w:tr>
    </w:tbl>
    <w:bookmarkEnd w:id="86"/>
    <w:bookmarkEnd w:id="87"/>
    <w:bookmarkEnd w:id="88"/>
    <w:bookmarkStart w:id="89"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OpenFGA authorisation at the service boundary, independent of and in addition to database row-level security.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89"/>
    <w:bookmarkStart w:id="90"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90"/>
    <w:bookmarkStart w:id="91"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91"/>
    <w:bookmarkStart w:id="95" w:name="assumptions-and-open-decisions"/>
    <w:p>
      <w:pPr>
        <w:pStyle w:val="Heading2"/>
      </w:pPr>
      <w:r>
        <w:t xml:space="preserve">13.</w:t>
      </w:r>
      <w:r>
        <w:t xml:space="preserve"> </w:t>
      </w:r>
      <w:r>
        <w:t xml:space="preserve">Assumptions and open decisions</w:t>
      </w:r>
    </w:p>
    <w:bookmarkStart w:id="92" w:name="assumptions-this-document-makes"/>
    <w:p>
      <w:pPr>
        <w:pStyle w:val="Heading3"/>
      </w:pPr>
      <w:r>
        <w:t xml:space="preserve">11.1 Assumptions this document makes</w:t>
      </w:r>
    </w:p>
    <w:p>
      <w:pPr>
        <w:pStyle w:val="Compact"/>
        <w:numPr>
          <w:ilvl w:val="0"/>
          <w:numId w:val="1015"/>
        </w:numPr>
      </w:pPr>
      <w:r>
        <w:t xml:space="preserve">Launch is India-only, in a small number of states chosen by e-stamping and verification coverage rather than by market size.</w:t>
      </w:r>
    </w:p>
    <w:p>
      <w:pPr>
        <w:pStyle w:val="Compact"/>
        <w:numPr>
          <w:ilvl w:val="0"/>
          <w:numId w:val="1015"/>
        </w:numPr>
      </w:pPr>
      <w:r>
        <w:t xml:space="preserve">One identity provider serves everyone; there is no separate staff identity stack, and platform administrators hold no implicit privilege.</w:t>
      </w:r>
    </w:p>
    <w:p>
      <w:pPr>
        <w:pStyle w:val="Compact"/>
        <w:numPr>
          <w:ilvl w:val="0"/>
          <w:numId w:val="1015"/>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5"/>
        </w:numPr>
      </w:pPr>
      <w:r>
        <w:t xml:space="preserve">Aggregator cost is netted from the 3.9%, so margin varies by payment instrument and must be monitored per instrument from launch.</w:t>
      </w:r>
    </w:p>
    <w:p>
      <w:pPr>
        <w:pStyle w:val="Compact"/>
        <w:numPr>
          <w:ilvl w:val="0"/>
          <w:numId w:val="1015"/>
        </w:numPr>
      </w:pPr>
      <w:r>
        <w:t xml:space="preserve">AI is never load-bearing: a non-paying organisation can operate a property end to end with no blocked action.</w:t>
      </w:r>
    </w:p>
    <w:p>
      <w:pPr>
        <w:pStyle w:val="Compact"/>
        <w:numPr>
          <w:ilvl w:val="0"/>
          <w:numId w:val="1015"/>
        </w:numPr>
      </w:pPr>
      <w:r>
        <w:t xml:space="preserve">Rentora never holds client funds. Every design here assumes settlement through a regulated aggregator.</w:t>
      </w:r>
    </w:p>
    <w:p>
      <w:pPr>
        <w:pStyle w:val="Compact"/>
        <w:numPr>
          <w:ilvl w:val="0"/>
          <w:numId w:val="1015"/>
        </w:numPr>
      </w:pPr>
      <w:r>
        <w:t xml:space="preserve">Residential is the beachhead. Hostel and commercial reuse the same core and are sequenced after the manager platform exists.</w:t>
      </w:r>
    </w:p>
    <w:p>
      <w:pPr>
        <w:pStyle w:val="Compact"/>
        <w:numPr>
          <w:ilvl w:val="0"/>
          <w:numId w:val="1015"/>
        </w:numPr>
      </w:pPr>
      <w:r>
        <w:t xml:space="preserve">Sales is an extension of an operating relationship, not a standalone portal business. Rentora will not win a listings-portal fight and does not attempt one.</w:t>
      </w:r>
    </w:p>
    <w:p>
      <w:pPr>
        <w:pStyle w:val="Compact"/>
        <w:numPr>
          <w:ilvl w:val="0"/>
          <w:numId w:val="1015"/>
        </w:numPr>
      </w:pPr>
      <w:r>
        <w:t xml:space="preserve">Technicians are partner-employed. The platform must not drift into a de facto employment relationship.</w:t>
      </w:r>
    </w:p>
    <w:p>
      <w:pPr>
        <w:pStyle w:val="Compact"/>
        <w:numPr>
          <w:ilvl w:val="0"/>
          <w:numId w:val="1015"/>
        </w:numPr>
      </w:pPr>
      <w:r>
        <w:t xml:space="preserve">WhatsApp remains an available and economically viable primary channel; SMS fallback is proven before launch.</w:t>
      </w:r>
    </w:p>
    <w:bookmarkEnd w:id="92"/>
    <w:bookmarkStart w:id="93"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rPr>
                <w:strike/>
              </w:rPr>
              <w:t xml:space="preserve">Auth provider</w:t>
            </w:r>
            <w:r>
              <w:t xml:space="preserve"> </w:t>
            </w:r>
            <w:r>
              <w:t xml:space="preserve">—</w:t>
            </w:r>
            <w:r>
              <w:t xml:space="preserve"> </w:t>
            </w:r>
            <w:r>
              <w:rPr>
                <w:b/>
                <w:bCs/>
              </w:rPr>
              <w:t xml:space="preserve">decided</w:t>
            </w:r>
          </w:p>
        </w:tc>
        <w:tc>
          <w:tcPr/>
          <w:p>
            <w:pPr>
              <w:pStyle w:val="Compact"/>
            </w:pPr>
            <w:r>
              <w:t xml:space="preserve">Google Identity Platform for every user including admin; OpenFGA plus RBAC for authorisation (§9.4)</w:t>
            </w:r>
          </w:p>
        </w:tc>
        <w:tc>
          <w:tcPr/>
          <w:p>
            <w:pPr>
              <w:pStyle w:val="Compact"/>
            </w:pPr>
            <w:r>
              <w:t xml:space="preserve">Closed</w:t>
            </w:r>
          </w:p>
        </w:tc>
      </w:tr>
      <w:tr>
        <w:tc>
          <w:tcPr/>
          <w:p>
            <w:pPr>
              <w:pStyle w:val="Compact"/>
            </w:pPr>
            <w:r>
              <w:t xml:space="preserve">OpenFGA authorisation model</w:t>
            </w:r>
          </w:p>
        </w:tc>
        <w:tc>
          <w:tcPr/>
          <w:p>
            <w:pPr>
              <w:pStyle w:val="Compact"/>
            </w:pPr>
            <w:r>
              <w:t xml:space="preserve">The type and relation definitions, and the check-latency and caching strategy on the critical path</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b/>
                <w:bCs/>
              </w:rPr>
              <w:t xml:space="preserve">Who bears the 3.9% fee</w:t>
            </w:r>
          </w:p>
        </w:tc>
        <w:tc>
          <w:tcPr/>
          <w:p>
            <w:pPr>
              <w:pStyle w:val="Compact"/>
            </w:pPr>
            <w:r>
              <w:t xml:space="preserve">Tenant-borne, owner-borne, manager-borne or split — it changes payment behaviour, disclosure obligations and whether users flee to cash</w:t>
            </w:r>
          </w:p>
        </w:tc>
        <w:tc>
          <w:tcPr/>
          <w:p>
            <w:pPr>
              <w:pStyle w:val="Compact"/>
            </w:pPr>
            <w:r>
              <w:t xml:space="preserve">P0</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93"/>
    <w:bookmarkStart w:id="94"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1.4 settles identity and authorisation — Google Identity Platform for every user, OpenFGA plus RBAC for permissions. Version 1.3 added public discovery, listings and inspection scheduling, and settles the technology stack. Version 1.2 made the Admin surface web and mobile together. Version 1.1 replaced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2026-07-29T10:57:40Z</dcterms:created>
  <dcterms:modified xsi:type="dcterms:W3CDTF">2026-07-29T10:57:40Z</dcterms:modified>
</cp:coreProperties>
</file>

<file path=docProps/custom.xml><?xml version="1.0" encoding="utf-8"?>
<Properties xmlns="http://schemas.openxmlformats.org/officeDocument/2006/custom-properties" xmlns:vt="http://schemas.openxmlformats.org/officeDocument/2006/docPropsVTypes"/>
</file>