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</w:t>
      </w:r>
    </w:p>
    <w:p>
      <w:r>
        <w:rPr>
          <w:b/>
          <w:color w:val="0F172A"/>
          <w:sz w:val="30"/>
        </w:rPr>
        <w:t>Legacy-Accounts Renewal Rate Schedule — Effective through 12/09/2025</w:t>
      </w:r>
    </w:p>
    <w:p>
      <w:r>
        <w:rPr>
          <w:color w:val="475569"/>
          <w:sz w:val="18"/>
        </w:rPr>
        <w:t>Effective: 09/01/2025 through 12/09/2025  |  Document Owner: VP, Paid Media  |  Version: v1.0</w:t>
      </w:r>
    </w:p>
    <w:p>
      <w:r>
        <w:rPr>
          <w:b/>
          <w:color w:val="1E293B"/>
          <w:sz w:val="24"/>
        </w:rPr>
        <w:t>1. Scope</w:t>
      </w:r>
    </w:p>
    <w:p>
      <w:r>
        <w:rPr>
          <w:b w:val="0"/>
          <w:i w:val="0"/>
          <w:color w:val="1E293B"/>
          <w:sz w:val="21"/>
        </w:rPr>
        <w:t>This schedule governs management fees applied to inherited-Bramwell account renewal events only (not ongoing billing, which continues under Thornfield’s standard 12% rate card). It applies exclusively to customer records carrying the ERPNext account_origin = "Inherited — Bramwell" designation whose renewal effective date falls on or before 12/09/2025. Accounts native to Thornfield, and any inherited-Bramwell account outside of a renewal event, are governed by the standard Thornfield Rate Card and are outside the scope of this document.</w:t>
      </w:r>
    </w:p>
    <w:p>
      <w:r>
        <w:rPr>
          <w:b/>
          <w:color w:val="1E293B"/>
          <w:sz w:val="24"/>
        </w:rPr>
        <w:t>2. Rates /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Rate / Term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Legacy-Accounts Renewal Management Fee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11% of managed spend at renewal, for inherited-Bramwell accounts renewing on or before 12/09/2025.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Applicability Window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Renewal effective dates from 09/01/2025 through 12/09/2025, inclusive.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Fee Basis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Qualifying managed platform spend billed for the renewal term.</w:t>
            </w:r>
          </w:p>
        </w:tc>
      </w:tr>
    </w:tbl>
    <w:p>
      <w:r>
        <w:rPr>
          <w:b/>
          <w:color w:val="1E293B"/>
          <w:sz w:val="24"/>
        </w:rPr>
        <w:t>3. Notes</w:t>
      </w:r>
    </w:p>
    <w:p>
      <w:r>
        <w:rPr>
          <w:b w:val="0"/>
          <w:i w:val="0"/>
          <w:color w:val="1E293B"/>
          <w:sz w:val="21"/>
        </w:rPr>
        <w:t>The 11% legacy renewal rate is a narrower, renewal-only schedule and is distinct from the company-wide 12% base management fee set out in the Thornfield Standard Rate Card. Ongoing monthly billing for inherited-Bramwell accounts — including any billing that falls between renewal events — continues under the standard 12% schedule and is not affected by this document.</w:t>
      </w:r>
    </w:p>
    <w:p>
      <w:r>
        <w:rPr>
          <w:b w:val="0"/>
          <w:i w:val="0"/>
          <w:color w:val="1E293B"/>
          <w:sz w:val="21"/>
        </w:rPr>
        <w:t>Rate lock-in is determined by the renewal effective date recorded against the underlying Sales Order in ERPNext (custom field: renewal_date). An inherited-Bramwell account whose renewal effective date is 12/09/2025 or earlier is governed by this schedule for the resulting renewal term, regardless of when downstream monthly invoices are subsequently issued.</w:t>
      </w:r>
    </w:p>
    <w:p>
      <w:r>
        <w:rPr>
          <w:b w:val="0"/>
          <w:i/>
          <w:color w:val="1E293B"/>
          <w:sz w:val="18"/>
        </w:rPr>
        <w:t>Footnote 1: Successor schedule (v2.0), issued 12/10/2025, governs inherited-Bramwell renewals with effective dates on or after 12/10/2025. This document remains authoritative for any legacy renewal locked in on or before 12/09/2025.</w:t>
      </w:r>
    </w:p>
    <w:p>
      <w:r>
        <w:rPr>
          <w:b w:val="0"/>
          <w:i w:val="0"/>
          <w:color w:val="1E293B"/>
          <w:sz w:val="21"/>
        </w:rPr>
        <w:t>Effective 09/01/2025 through 12/09/2025 — legacy renewal schedule for inherited-Bramwell accounts. Contact: Ted Kowalczyk, VP Paid Media.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 w:val="0"/>
          <w:color w:val="1E293B"/>
          <w:sz w:val="21"/>
        </w:rPr>
        <w:t>Approved by: Ted Kowalczyk, VP Paid Media</w:t>
        <w:tab/>
        <w:t>Date: 09/01/2025</w:t>
      </w:r>
    </w:p>
    <w:p>
      <w:r>
        <w:rPr>
          <w:b/>
          <w:color w:val="1E293B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Prepared By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09/01/2025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Initial issuance. Legacy-accounts renewal management fee established at 11% of managed spend at renewal, applicable to inherited-Bramwell accounts renewing on or before 12/09/2025.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Ted Kowalczyk, VP Paid Media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12/10/2025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Superseded on a forward-looking basis by v2.0 of the Legacy-Accounts Renewal Rate Schedule. v1.0 remains the governing schedule for any inherited-Bramwell renewal whose effective date is on or before 12/09/2025.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Ted Kowalczyk, VP Paid Media</w:t>
            </w:r>
          </w:p>
        </w:tc>
      </w:tr>
    </w:tbl>
    <w:p>
      <w:r>
        <w:rPr>
          <w:b w:val="0"/>
          <w:i/>
          <w:color w:val="1E293B"/>
          <w:sz w:val="18"/>
        </w:rPr>
        <w:t>Filed: /MarketingOps/Pricing/Archive/legacy_accounts_rate_schedule_pre_12102025.docx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