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300" w:lineRule="auto" w:before="0"/>
      </w:pPr>
      <w:r>
        <w:rPr>
          <w:rFonts w:ascii="Segoe UI" w:hAnsi="Segoe UI"/>
          <w:b/>
          <w:i w:val="0"/>
          <w:color w:val="0284C7"/>
          <w:sz w:val="19"/>
        </w:rPr>
        <w:t>THORNFIELD LIFE SCIENCES MARKETING</w:t>
      </w:r>
    </w:p>
    <w:p>
      <w:pPr>
        <w:spacing w:after="280" w:line="300" w:lineRule="auto" w:before="40"/>
      </w:pPr>
      <w:r>
        <w:rPr>
          <w:rFonts w:ascii="Segoe UI" w:hAnsi="Segoe UI"/>
          <w:b/>
          <w:i w:val="0"/>
          <w:color w:val="0F2C59"/>
          <w:sz w:val="36"/>
        </w:rPr>
        <w:t>MEMO — Campaign Taxonomy &amp; Migration Guide (v1.0)</w:t>
      </w:r>
    </w:p>
    <w:tbl>
      <w:tblPr>
        <w:tblW w:type="auto" w:w="0"/>
        <w:tblLayout w:type="fixed"/>
        <w:tblLook w:firstColumn="1" w:firstRow="1" w:lastColumn="0" w:lastRow="0" w:noHBand="0" w:noVBand="1" w:val="04A0"/>
        <w:jc w:val="center"/>
        <w:tblBorders>
          <w:top w:val="single" w:sz="4" w:color="auto"/>
          <w:left w:val="single" w:sz="4" w:color="auto"/>
          <w:bottom w:val="single" w:sz="4" w:color="auto"/>
          <w:right w:val="single" w:sz="4" w:color="auto"/>
          <w:insideH w:val="single" w:sz="4" w:color="auto"/>
          <w:insideV w:val="single" w:sz="4" w:color="auto"/>
        </w:tblBorders>
      </w:tblPr>
      <w:tblGrid>
        <w:gridCol w:w="1800"/>
        <w:gridCol w:w="7560"/>
      </w:tblGrid>
      <w:tr>
        <w:tc>
          <w:tcPr>
            <w:tcW w:type="dxa" w:w="1296"/>
            <w:shd w:val="clear" w:color="auto" w:fill="E2EFDA"/>
            <w:shd w:val="clear" w:color="auto" w:fill="F8FAFC"/>
            <w:tcMar>
              <w:top w:w="100" w:type="dxa"/>
              <w:bottom w:w="100" w:type="dxa"/>
              <w:left w:w="160" w:type="dxa"/>
              <w:right w:w="160" w:type="dxa"/>
            </w:tcMar>
            <w:tcBorders>
              <w:top w:val="single" w:sz="4" w:space="0" w:color="CBD5E1"/>
              <w:bottom w:val="single" w:sz="4" w:space="0" w:color="E2E8F0"/>
              <w:left w:val="single" w:sz="24" w:space="0" w:color="0284C7"/>
              <w:right w:val="nil"/>
            </w:tcBorders>
          </w:tcPr>
          <w:p>
            <w:pPr>
              <w:spacing w:after="20" w:before="20" w:line="276" w:lineRule="auto"/>
            </w:pPr>
            <w:r>
              <w:rPr>
                <w:rFonts w:ascii="Segoe UI" w:hAnsi="Segoe UI"/>
                <w:b/>
                <w:color w:val="0F2C59"/>
                <w:sz w:val="20"/>
              </w:rPr>
            </w:r>
            <w:r>
              <w:rPr>
                <w:rFonts w:ascii="Segoe UI" w:hAnsi="Segoe UI"/>
                <w:b/>
                <w:i w:val="0"/>
                <w:color w:val="0F2C59"/>
                <w:sz w:val="20"/>
              </w:rPr>
              <w:t>Date:</w:t>
            </w:r>
          </w:p>
        </w:tc>
        <w:tc>
          <w:tcPr>
            <w:tcW w:type="dxa" w:w="8352"/>
            <w:shd w:val="clear" w:color="auto" w:fill="F8FAFC"/>
            <w:tcMar>
              <w:top w:w="100" w:type="dxa"/>
              <w:bottom w:w="100" w:type="dxa"/>
              <w:left w:w="160" w:type="dxa"/>
              <w:right w:w="160" w:type="dxa"/>
            </w:tcMar>
            <w:tcBorders>
              <w:top w:val="single" w:sz="4" w:space="0" w:color="CBD5E1"/>
              <w:bottom w:val="single" w:sz="4" w:space="0" w:color="E2E8F0"/>
              <w:left w:val="nil"/>
              <w:right w:val="single" w:sz="4" w:space="0" w:color="E2E8F0"/>
            </w:tcBorders>
          </w:tcPr>
          <w:p>
            <w:pPr>
              <w:spacing w:after="20" w:before="20" w:line="276" w:lineRule="auto"/>
            </w:pPr>
            <w:r>
              <w:rPr>
                <w:rFonts w:ascii="Segoe UI" w:hAnsi="Segoe UI"/>
                <w:b w:val="0"/>
                <w:color w:val="334155"/>
                <w:sz w:val="20"/>
              </w:rPr>
              <w:t>12/28/2025</w:t>
            </w:r>
            <w:r>
              <w:rPr>
                <w:rFonts w:ascii="Segoe UI" w:hAnsi="Segoe UI"/>
                <w:b w:val="0"/>
                <w:i w:val="0"/>
                <w:color w:val="334155"/>
                <w:sz w:val="20"/>
              </w:rPr>
            </w:r>
          </w:p>
        </w:tc>
      </w:tr>
      <w:tr>
        <w:tc>
          <w:tcPr>
            <w:tcW w:type="dxa" w:w="1296"/>
            <w:shd w:val="clear" w:color="auto" w:fill="E2EFDA"/>
            <w:shd w:val="clear" w:color="auto" w:fill="F8FAFC"/>
            <w:tcMar>
              <w:top w:w="100" w:type="dxa"/>
              <w:bottom w:w="100" w:type="dxa"/>
              <w:left w:w="160" w:type="dxa"/>
              <w:right w:w="160" w:type="dxa"/>
            </w:tcMar>
            <w:tcBorders>
              <w:top w:val="single" w:sz="4" w:space="0" w:color="E2E8F0"/>
              <w:bottom w:val="single" w:sz="4" w:space="0" w:color="E2E8F0"/>
              <w:left w:val="single" w:sz="24" w:space="0" w:color="0284C7"/>
              <w:right w:val="nil"/>
            </w:tcBorders>
          </w:tcPr>
          <w:p>
            <w:pPr>
              <w:spacing w:after="20" w:before="20" w:line="276" w:lineRule="auto"/>
            </w:pPr>
            <w:r>
              <w:rPr>
                <w:rFonts w:ascii="Segoe UI" w:hAnsi="Segoe UI"/>
                <w:b/>
                <w:color w:val="0F2C59"/>
                <w:sz w:val="20"/>
              </w:rPr>
            </w:r>
            <w:r>
              <w:rPr>
                <w:rFonts w:ascii="Segoe UI" w:hAnsi="Segoe UI"/>
                <w:b/>
                <w:i w:val="0"/>
                <w:color w:val="0F2C59"/>
                <w:sz w:val="20"/>
              </w:rPr>
              <w:t>From:</w:t>
            </w:r>
          </w:p>
        </w:tc>
        <w:tc>
          <w:tcPr>
            <w:tcW w:type="dxa" w:w="8352"/>
            <w:shd w:val="clear" w:color="auto" w:fill="F8FAFC"/>
            <w:tcMar>
              <w:top w:w="100" w:type="dxa"/>
              <w:bottom w:w="100" w:type="dxa"/>
              <w:left w:w="160" w:type="dxa"/>
              <w:right w:w="160" w:type="dxa"/>
            </w:tcMar>
            <w:tcBorders>
              <w:top w:val="single" w:sz="4" w:space="0" w:color="E2E8F0"/>
              <w:bottom w:val="single" w:sz="4" w:space="0" w:color="E2E8F0"/>
              <w:left w:val="nil"/>
              <w:right w:val="single" w:sz="4" w:space="0" w:color="E2E8F0"/>
            </w:tcBorders>
          </w:tcPr>
          <w:p>
            <w:pPr>
              <w:spacing w:after="20" w:before="20" w:line="276" w:lineRule="auto"/>
            </w:pPr>
            <w:r>
              <w:rPr>
                <w:rFonts w:ascii="Segoe UI" w:hAnsi="Segoe UI"/>
                <w:b w:val="0"/>
                <w:color w:val="334155"/>
                <w:sz w:val="20"/>
              </w:rPr>
            </w:r>
            <w:r>
              <w:rPr>
                <w:rFonts w:ascii="Segoe UI" w:hAnsi="Segoe UI"/>
                <w:b w:val="0"/>
                <w:i w:val="0"/>
                <w:color w:val="334155"/>
                <w:sz w:val="20"/>
              </w:rPr>
              <w:t>Grace Feldman, Director, Analytics &amp; Reporting</w:t>
            </w:r>
          </w:p>
        </w:tc>
      </w:tr>
      <w:tr>
        <w:tc>
          <w:tcPr>
            <w:tcW w:type="dxa" w:w="1296"/>
            <w:shd w:val="clear" w:color="auto" w:fill="E2EFDA"/>
            <w:shd w:val="clear" w:color="auto" w:fill="F8FAFC"/>
            <w:tcMar>
              <w:top w:w="100" w:type="dxa"/>
              <w:bottom w:w="100" w:type="dxa"/>
              <w:left w:w="160" w:type="dxa"/>
              <w:right w:w="160" w:type="dxa"/>
            </w:tcMar>
            <w:tcBorders>
              <w:top w:val="single" w:sz="4" w:space="0" w:color="E2E8F0"/>
              <w:bottom w:val="single" w:sz="4" w:space="0" w:color="E2E8F0"/>
              <w:left w:val="single" w:sz="24" w:space="0" w:color="0284C7"/>
              <w:right w:val="nil"/>
            </w:tcBorders>
          </w:tcPr>
          <w:p>
            <w:pPr>
              <w:spacing w:after="20" w:before="20" w:line="276" w:lineRule="auto"/>
            </w:pPr>
            <w:r>
              <w:rPr>
                <w:rFonts w:ascii="Segoe UI" w:hAnsi="Segoe UI"/>
                <w:b/>
                <w:color w:val="0F2C59"/>
                <w:sz w:val="20"/>
              </w:rPr>
            </w:r>
            <w:r>
              <w:rPr>
                <w:rFonts w:ascii="Segoe UI" w:hAnsi="Segoe UI"/>
                <w:b/>
                <w:i w:val="0"/>
                <w:color w:val="0F2C59"/>
                <w:sz w:val="20"/>
              </w:rPr>
              <w:t>To:</w:t>
            </w:r>
          </w:p>
        </w:tc>
        <w:tc>
          <w:tcPr>
            <w:tcW w:type="dxa" w:w="8352"/>
            <w:shd w:val="clear" w:color="auto" w:fill="F8FAFC"/>
            <w:tcMar>
              <w:top w:w="100" w:type="dxa"/>
              <w:bottom w:w="100" w:type="dxa"/>
              <w:left w:w="160" w:type="dxa"/>
              <w:right w:w="160" w:type="dxa"/>
            </w:tcMar>
            <w:tcBorders>
              <w:top w:val="single" w:sz="4" w:space="0" w:color="E2E8F0"/>
              <w:bottom w:val="single" w:sz="4" w:space="0" w:color="E2E8F0"/>
              <w:left w:val="nil"/>
              <w:right w:val="single" w:sz="4" w:space="0" w:color="E2E8F0"/>
            </w:tcBorders>
          </w:tcPr>
          <w:p>
            <w:pPr>
              <w:spacing w:after="20" w:before="20" w:line="276" w:lineRule="auto"/>
            </w:pPr>
            <w:r>
              <w:rPr>
                <w:rFonts w:ascii="Segoe UI" w:hAnsi="Segoe UI"/>
                <w:b w:val="0"/>
                <w:color w:val="334155"/>
                <w:sz w:val="20"/>
              </w:rPr>
            </w:r>
            <w:r>
              <w:rPr>
                <w:rFonts w:ascii="Segoe UI" w:hAnsi="Segoe UI"/>
                <w:b w:val="0"/>
                <w:i w:val="0"/>
                <w:color w:val="334155"/>
                <w:sz w:val="20"/>
              </w:rPr>
              <w:t>Ted Kowalczyk, VP Paid Media; Marcus Oyelaran, Integration Advisor; Sofia Bergen, Director, Client Strategy</w:t>
            </w:r>
          </w:p>
        </w:tc>
      </w:tr>
      <w:tr>
        <w:tc>
          <w:tcPr>
            <w:tcW w:type="dxa" w:w="1296"/>
            <w:shd w:val="clear" w:color="auto" w:fill="E2EFDA"/>
            <w:shd w:val="clear" w:color="auto" w:fill="F8FAFC"/>
            <w:tcMar>
              <w:top w:w="100" w:type="dxa"/>
              <w:bottom w:w="100" w:type="dxa"/>
              <w:left w:w="160" w:type="dxa"/>
              <w:right w:w="160" w:type="dxa"/>
            </w:tcMar>
            <w:tcBorders>
              <w:top w:val="single" w:sz="4" w:space="0" w:color="E2E8F0"/>
              <w:bottom w:val="single" w:sz="4" w:space="0" w:color="CBD5E1"/>
              <w:left w:val="single" w:sz="24" w:space="0" w:color="0284C7"/>
              <w:right w:val="nil"/>
            </w:tcBorders>
          </w:tcPr>
          <w:p>
            <w:pPr>
              <w:spacing w:after="20" w:before="20" w:line="276" w:lineRule="auto"/>
            </w:pPr>
            <w:r>
              <w:rPr>
                <w:rFonts w:ascii="Segoe UI" w:hAnsi="Segoe UI"/>
                <w:b/>
                <w:color w:val="0F2C59"/>
                <w:sz w:val="20"/>
              </w:rPr>
            </w:r>
            <w:r>
              <w:rPr>
                <w:rFonts w:ascii="Segoe UI" w:hAnsi="Segoe UI"/>
                <w:b/>
                <w:i w:val="0"/>
                <w:color w:val="0F2C59"/>
                <w:sz w:val="20"/>
              </w:rPr>
              <w:t>Re:</w:t>
            </w:r>
          </w:p>
        </w:tc>
        <w:tc>
          <w:tcPr>
            <w:tcW w:type="dxa" w:w="8352"/>
            <w:shd w:val="clear" w:color="auto" w:fill="F8FAFC"/>
            <w:tcMar>
              <w:top w:w="100" w:type="dxa"/>
              <w:bottom w:w="100" w:type="dxa"/>
              <w:left w:w="160" w:type="dxa"/>
              <w:right w:w="160" w:type="dxa"/>
            </w:tcMar>
            <w:tcBorders>
              <w:top w:val="single" w:sz="4" w:space="0" w:color="E2E8F0"/>
              <w:bottom w:val="single" w:sz="4" w:space="0" w:color="CBD5E1"/>
              <w:left w:val="nil"/>
              <w:right w:val="single" w:sz="4" w:space="0" w:color="E2E8F0"/>
            </w:tcBorders>
          </w:tcPr>
          <w:p>
            <w:pPr>
              <w:spacing w:after="20" w:before="20" w:line="276" w:lineRule="auto"/>
            </w:pPr>
            <w:r>
              <w:rPr>
                <w:rFonts w:ascii="Segoe UI" w:hAnsi="Segoe UI"/>
                <w:b/>
                <w:color w:val="0F2C59"/>
                <w:sz w:val="20"/>
              </w:rPr>
            </w:r>
            <w:r>
              <w:rPr>
                <w:rFonts w:ascii="Segoe UI" w:hAnsi="Segoe UI"/>
                <w:b/>
                <w:i w:val="0"/>
                <w:color w:val="0F2C59"/>
                <w:sz w:val="20"/>
              </w:rPr>
              <w:t>Campaign Taxonomy &amp; Migration Guide — Unified UTM / Campaign Naming Standard (v1.0), with In-Flight Rename Note</w:t>
            </w:r>
          </w:p>
        </w:tc>
      </w:tr>
    </w:tbl>
    <w:p>
      <w:pPr>
        <w:spacing w:after="80" w:line="300" w:lineRule="auto" w:before="0"/>
      </w:pPr>
    </w:p>
    <w:p>
      <w:pPr>
        <w:keepNext/>
        <w:spacing w:before="400" w:after="160" w:line="300" w:lineRule="auto"/>
        <w:pBdr>
          <w:bottom w:val="single" w:sz="12" w:space="6" w:color="0284C7"/>
        </w:pBdr>
      </w:pPr>
      <w:r>
        <w:rPr>
          <w:rFonts w:ascii="Segoe UI" w:hAnsi="Segoe UI"/>
          <w:b/>
          <w:i w:val="0"/>
          <w:color w:val="0F2C59"/>
          <w:sz w:val="27"/>
        </w:rPr>
        <w:t>1. Purpose</w:t>
      </w:r>
    </w:p>
    <w:p>
      <w:pPr>
        <w:spacing w:after="120" w:before="0" w:line="300" w:lineRule="auto"/>
      </w:pPr>
      <w:r>
        <w:rPr>
          <w:rFonts w:ascii="Segoe UI" w:hAnsi="Segoe UI"/>
          <w:b w:val="0"/>
          <w:i w:val="0"/>
          <w:color w:val="334155"/>
          <w:sz w:val="21"/>
        </w:rPr>
        <w:t>Since the Bramwell Scientific Marketing close on September 1, 2025, the combined book of business has been operating on two parallel campaign-naming conventions inside the Thornfield ERPNext instance and across our downstream analytics stack (attribution dashboard, CRM UTM parameters, vendor placement IDs). Bramwell's legacy convention prefixed campaign strings with the acquired-agency code (BW-) and used a free-form descriptor field; Thornfield's convention has always been a structured four-segment string keyed to client, quarter, channel, and objective.</w:t>
      </w:r>
    </w:p>
    <w:p>
      <w:pPr>
        <w:spacing w:after="120" w:before="0" w:line="300" w:lineRule="auto"/>
      </w:pPr>
      <w:r>
        <w:rPr>
          <w:rFonts w:ascii="Segoe UI" w:hAnsi="Segoe UI"/>
          <w:b w:val="0"/>
          <w:i w:val="0"/>
          <w:color w:val="334155"/>
          <w:sz w:val="21"/>
        </w:rPr>
        <w:t>Grace Feldman is issuing this guide to unify both books under a single Thornfield taxonomy effective for all campaigns launched, renewed, or renamed on or after January 1, 2026. The intent is that every campaign row in the reporting warehouse — regardless of whether the underlying account is a Thornfield-native or an Inherited — Bramwell customer — parses cleanly under one grammar, so the QBR pipeline forecast and the Q1 2026 spend pacing reports draw from a single source of truth.</w:t>
      </w:r>
    </w:p>
    <w:p>
      <w:pPr>
        <w:spacing w:after="120" w:before="0" w:line="300" w:lineRule="auto"/>
      </w:pPr>
      <w:r>
        <w:rPr>
          <w:rFonts w:ascii="Segoe UI" w:hAnsi="Segoe UI"/>
          <w:b w:val="0"/>
          <w:i w:val="0"/>
          <w:color w:val="334155"/>
          <w:sz w:val="21"/>
        </w:rPr>
        <w:t>This guide covers:</w:t>
      </w:r>
    </w:p>
    <w:p>
      <w:pPr>
        <w:pStyle w:val="ListBullet"/>
        <w:spacing w:after="60" w:line="300" w:lineRule="auto" w:before="40"/>
        <w:ind w:left="432"/>
      </w:pPr>
      <w:r>
        <w:rPr>
          <w:rFonts w:ascii="Segoe UI" w:hAnsi="Segoe UI"/>
          <w:b w:val="0"/>
          <w:i w:val="0"/>
          <w:color w:val="334155"/>
          <w:sz w:val="21"/>
        </w:rPr>
        <w:t>The unified utm_campaign naming standard (Section 2).</w:t>
      </w:r>
    </w:p>
    <w:p>
      <w:pPr>
        <w:pStyle w:val="ListBullet"/>
        <w:spacing w:after="200" w:line="300" w:lineRule="auto" w:before="40"/>
        <w:ind w:left="432"/>
      </w:pPr>
      <w:r>
        <w:rPr>
          <w:rFonts w:ascii="Segoe UI" w:hAnsi="Segoe UI"/>
          <w:b w:val="0"/>
          <w:i w:val="0"/>
          <w:color w:val="334155"/>
          <w:sz w:val="21"/>
        </w:rPr>
        <w:t>One specific in-flight campaign migration required to bring an active Bramwell-inherited placement into the new taxonomy for its Q1 2026 continuation (Section 3).</w:t>
      </w:r>
    </w:p>
    <w:p>
      <w:pPr>
        <w:keepNext/>
        <w:spacing w:before="400" w:after="160" w:line="300" w:lineRule="auto"/>
        <w:pBdr>
          <w:bottom w:val="single" w:sz="12" w:space="6" w:color="0284C7"/>
        </w:pBdr>
      </w:pPr>
      <w:r>
        <w:rPr>
          <w:rFonts w:ascii="Segoe UI" w:hAnsi="Segoe UI"/>
          <w:b/>
          <w:i w:val="0"/>
          <w:color w:val="0F2C59"/>
          <w:sz w:val="27"/>
        </w:rPr>
        <w:t>2. Naming Standard</w:t>
      </w:r>
    </w:p>
    <w:p>
      <w:pPr>
        <w:keepNext/>
        <w:spacing w:before="280" w:after="100" w:line="300" w:lineRule="auto"/>
      </w:pPr>
      <w:r>
        <w:rPr>
          <w:rFonts w:ascii="Segoe UI" w:hAnsi="Segoe UI"/>
          <w:b/>
          <w:i w:val="0"/>
          <w:color w:val="0369A1"/>
          <w:sz w:val="23"/>
        </w:rPr>
        <w:t>2.1 Canonical format</w:t>
      </w:r>
    </w:p>
    <w:p>
      <w:pPr>
        <w:spacing w:after="120" w:before="0" w:line="300" w:lineRule="auto"/>
      </w:pPr>
      <w:r>
        <w:rPr>
          <w:rFonts w:ascii="Segoe UI" w:hAnsi="Segoe UI"/>
          <w:b w:val="0"/>
          <w:i w:val="0"/>
          <w:color w:val="334155"/>
          <w:sz w:val="21"/>
        </w:rPr>
        <w:t>All new utm_campaign values, campaign object names in ERPNext, and vendor-side placement labels must follow:</w:t>
      </w:r>
    </w:p>
    <w:p>
      <w:pPr>
        <w:spacing w:after="200" w:line="300" w:lineRule="auto" w:before="160"/>
        <w:ind w:left="432" w:right="432"/>
        <w:shd w:val="clear" w:color="auto" w:fill="F1F5F9"/>
        <w:pBdr>
          <w:left w:val="single" w:sz="24" w:space="12" w:color="0284C7"/>
        </w:pBdr>
      </w:pPr>
      <w:r>
        <w:rPr>
          <w:rFonts w:ascii="Consolas" w:hAnsi="Consolas"/>
          <w:b/>
          <w:i w:val="0"/>
          <w:color w:val="0F2C59"/>
          <w:sz w:val="22"/>
        </w:rPr>
        <w:t>[client_short]_[quarter]_[channel]_[objective]</w:t>
      </w:r>
    </w:p>
    <w:p>
      <w:pPr>
        <w:spacing w:after="120" w:before="0" w:line="300" w:lineRule="auto"/>
      </w:pPr>
      <w:r>
        <w:rPr>
          <w:rFonts w:ascii="Segoe UI" w:hAnsi="Segoe UI"/>
          <w:b w:val="0"/>
          <w:i w:val="0"/>
          <w:color w:val="334155"/>
          <w:sz w:val="21"/>
        </w:rPr>
        <w:t>Segments are joined with a single underscore. No spaces, no hyphens inside a segment, no mixed case. Each segment is lowercased.</w:t>
      </w:r>
    </w:p>
    <w:p>
      <w:pPr>
        <w:keepNext/>
        <w:spacing w:before="280" w:after="100" w:line="300" w:lineRule="auto"/>
      </w:pPr>
      <w:r>
        <w:rPr>
          <w:rFonts w:ascii="Segoe UI" w:hAnsi="Segoe UI"/>
          <w:b/>
          <w:i w:val="0"/>
          <w:color w:val="0369A1"/>
          <w:sz w:val="23"/>
        </w:rPr>
        <w:t>2.2 Segment definitions</w:t>
      </w:r>
    </w:p>
    <w:tbl>
      <w:tblPr>
        <w:tblW w:type="auto" w:w="0"/>
        <w:tblLayout w:type="fixed"/>
        <w:tblLook w:firstColumn="1" w:firstRow="1" w:lastColumn="0" w:lastRow="0" w:noHBand="0" w:noVBand="1" w:val="04A0"/>
        <w:jc w:val="center"/>
        <w:tblBorders>
          <w:top w:val="single" w:sz="4" w:color="auto"/>
          <w:left w:val="single" w:sz="4" w:color="auto"/>
          <w:bottom w:val="single" w:sz="4" w:color="auto"/>
          <w:right w:val="single" w:sz="4" w:color="auto"/>
          <w:insideH w:val="single" w:sz="4" w:color="auto"/>
          <w:insideV w:val="single" w:sz="4" w:color="auto"/>
        </w:tblBorders>
      </w:tblPr>
      <w:tblGrid>
        <w:gridCol w:w="1656"/>
        <w:gridCol w:w="4536"/>
        <w:gridCol w:w="3168"/>
      </w:tblGrid>
      <w:tr>
        <w:tc>
          <w:tcPr>
            <w:tcW w:type="dxa" w:w="2160"/>
            <w:shd w:val="clear" w:color="auto" w:fill="E2EFDA"/>
            <w:shd w:val="clear" w:color="auto" w:fill="0F2C59"/>
            <w:tcMar>
              <w:top w:w="140" w:type="dxa"/>
              <w:bottom w:w="140" w:type="dxa"/>
              <w:left w:w="140" w:type="dxa"/>
              <w:right w:w="140" w:type="dxa"/>
            </w:tcMar>
            <w:tcBorders>
              <w:top w:val="nil"/>
              <w:bottom w:val="single" w:sz="12" w:space="0" w:color="0284C7"/>
              <w:left w:val="nil"/>
              <w:right w:val="nil"/>
            </w:tcBorders>
          </w:tcPr>
          <w:p>
            <w:pPr>
              <w:spacing w:after="20" w:before="20" w:line="276" w:lineRule="auto"/>
            </w:pPr>
            <w:r>
              <w:rPr>
                <w:rFonts w:ascii="Segoe UI" w:hAnsi="Segoe UI"/>
                <w:b/>
                <w:color w:val="1F4E78"/>
                <w:sz w:val="20"/>
              </w:rPr>
            </w:r>
            <w:r>
              <w:rPr>
                <w:rFonts w:ascii="Segoe UI" w:hAnsi="Segoe UI"/>
                <w:b/>
                <w:i w:val="0"/>
                <w:color w:val="1F4E78"/>
                <w:sz w:val="20"/>
              </w:rPr>
              <w:t>Segment</w:t>
            </w:r>
          </w:p>
        </w:tc>
        <w:tc>
          <w:tcPr>
            <w:tcW w:type="dxa" w:w="4896"/>
            <w:shd w:val="clear" w:color="auto" w:fill="E2EFDA"/>
            <w:shd w:val="clear" w:color="auto" w:fill="0F2C59"/>
            <w:tcMar>
              <w:top w:w="140" w:type="dxa"/>
              <w:bottom w:w="140" w:type="dxa"/>
              <w:left w:w="140" w:type="dxa"/>
              <w:right w:w="140" w:type="dxa"/>
            </w:tcMar>
            <w:tcBorders>
              <w:top w:val="nil"/>
              <w:bottom w:val="single" w:sz="12" w:space="0" w:color="0284C7"/>
              <w:left w:val="nil"/>
              <w:right w:val="nil"/>
            </w:tcBorders>
          </w:tcPr>
          <w:p>
            <w:pPr>
              <w:spacing w:after="20" w:before="20" w:line="276" w:lineRule="auto"/>
            </w:pPr>
            <w:r>
              <w:rPr>
                <w:rFonts w:ascii="Segoe UI" w:hAnsi="Segoe UI"/>
                <w:b/>
                <w:color w:val="1F4E78"/>
                <w:sz w:val="20"/>
              </w:rPr>
            </w:r>
            <w:r>
              <w:rPr>
                <w:rFonts w:ascii="Segoe UI" w:hAnsi="Segoe UI"/>
                <w:b/>
                <w:i w:val="0"/>
                <w:color w:val="1F4E78"/>
                <w:sz w:val="20"/>
              </w:rPr>
              <w:t>Definition</w:t>
            </w:r>
          </w:p>
        </w:tc>
        <w:tc>
          <w:tcPr>
            <w:tcW w:type="dxa" w:w="2592"/>
            <w:shd w:val="clear" w:color="auto" w:fill="E2EFDA"/>
            <w:shd w:val="clear" w:color="auto" w:fill="0F2C59"/>
            <w:tcMar>
              <w:top w:w="140" w:type="dxa"/>
              <w:bottom w:w="140" w:type="dxa"/>
              <w:left w:w="140" w:type="dxa"/>
              <w:right w:w="140" w:type="dxa"/>
            </w:tcMar>
            <w:tcBorders>
              <w:top w:val="nil"/>
              <w:bottom w:val="single" w:sz="12" w:space="0" w:color="0284C7"/>
              <w:left w:val="nil"/>
              <w:right w:val="nil"/>
            </w:tcBorders>
          </w:tcPr>
          <w:p>
            <w:pPr>
              <w:spacing w:after="20" w:before="20" w:line="276" w:lineRule="auto"/>
            </w:pPr>
            <w:r>
              <w:rPr>
                <w:rFonts w:ascii="Segoe UI" w:hAnsi="Segoe UI"/>
                <w:b/>
                <w:color w:val="1F4E78"/>
                <w:sz w:val="20"/>
              </w:rPr>
            </w:r>
            <w:r>
              <w:rPr>
                <w:rFonts w:ascii="Segoe UI" w:hAnsi="Segoe UI"/>
                <w:b/>
                <w:i w:val="0"/>
                <w:color w:val="1F4E78"/>
                <w:sz w:val="20"/>
              </w:rPr>
              <w:t>Examples</w:t>
            </w:r>
          </w:p>
        </w:tc>
      </w:tr>
      <w:tr>
        <w:tc>
          <w:tcPr>
            <w:tcW w:type="dxa" w:w="2160"/>
            <w:shd w:val="clear" w:color="auto" w:fill="F8FAFC"/>
            <w:tcMar>
              <w:top w:w="100" w:type="dxa"/>
              <w:bottom w:w="100" w:type="dxa"/>
              <w:left w:w="140" w:type="dxa"/>
              <w:right w:w="140" w:type="dxa"/>
            </w:tcMar>
            <w:tcBorders>
              <w:top w:val="single" w:sz="4" w:space="0" w:color="CBD5E1"/>
              <w:bottom w:val="single" w:sz="4" w:space="0" w:color="CBD5E1"/>
              <w:left w:val="nil"/>
              <w:right w:val="nil"/>
            </w:tcBorders>
          </w:tcPr>
          <w:p>
            <w:pPr>
              <w:spacing w:after="20" w:before="20" w:line="276" w:lineRule="auto"/>
            </w:pPr>
            <w:r>
              <w:rPr>
                <w:rFonts w:ascii="Consolas" w:hAnsi="Consolas"/>
                <w:b/>
                <w:color w:val="0F2C59"/>
                <w:sz w:val="19"/>
              </w:rPr>
            </w:r>
            <w:r>
              <w:rPr>
                <w:rFonts w:ascii="Consolas" w:hAnsi="Consolas"/>
                <w:b/>
                <w:i w:val="0"/>
                <w:color w:val="0F2C59"/>
                <w:sz w:val="19"/>
              </w:rPr>
              <w:t>client_short</w:t>
            </w:r>
          </w:p>
        </w:tc>
        <w:tc>
          <w:tcPr>
            <w:tcW w:type="dxa" w:w="4896"/>
            <w:shd w:val="clear" w:color="auto" w:fill="F8FAFC"/>
            <w:tcMar>
              <w:top w:w="100" w:type="dxa"/>
              <w:bottom w:w="100" w:type="dxa"/>
              <w:left w:w="140" w:type="dxa"/>
              <w:right w:w="140" w:type="dxa"/>
            </w:tcMar>
            <w:tcBorders>
              <w:top w:val="single" w:sz="4" w:space="0" w:color="CBD5E1"/>
              <w:bottom w:val="single" w:sz="4" w:space="0" w:color="CBD5E1"/>
              <w:left w:val="nil"/>
              <w:right w:val="nil"/>
            </w:tcBorders>
          </w:tcPr>
          <w:p>
            <w:pPr>
              <w:spacing w:after="20" w:before="20" w:line="276" w:lineRule="auto"/>
            </w:pPr>
            <w:r>
              <w:rPr>
                <w:rFonts w:ascii="Segoe UI" w:hAnsi="Segoe UI"/>
                <w:color w:val="334155"/>
                <w:sz w:val="19"/>
              </w:rPr>
            </w:r>
            <w:r>
              <w:rPr>
                <w:rFonts w:ascii="Segoe UI" w:hAnsi="Segoe UI"/>
                <w:b w:val="0"/>
                <w:i w:val="0"/>
                <w:color w:val="334155"/>
                <w:sz w:val="19"/>
              </w:rPr>
              <w:t>The short-name slug from the Customer master in ERPNext. Not the full legal name. Matches the Customer.short_name field.</w:t>
            </w:r>
          </w:p>
        </w:tc>
        <w:tc>
          <w:tcPr>
            <w:tcW w:type="dxa" w:w="2592"/>
            <w:shd w:val="clear" w:color="auto" w:fill="F8FAFC"/>
            <w:tcMar>
              <w:top w:w="100" w:type="dxa"/>
              <w:bottom w:w="100" w:type="dxa"/>
              <w:left w:w="140" w:type="dxa"/>
              <w:right w:w="140" w:type="dxa"/>
            </w:tcMar>
            <w:tcBorders>
              <w:top w:val="single" w:sz="4" w:space="0" w:color="CBD5E1"/>
              <w:bottom w:val="single" w:sz="4" w:space="0" w:color="CBD5E1"/>
              <w:left w:val="nil"/>
              <w:right w:val="nil"/>
            </w:tcBorders>
          </w:tcPr>
          <w:p>
            <w:pPr>
              <w:spacing w:after="20" w:before="20" w:line="276" w:lineRule="auto"/>
            </w:pPr>
            <w:r>
              <w:rPr>
                <w:rFonts w:ascii="Consolas" w:hAnsi="Consolas"/>
                <w:color w:val="0369A1"/>
                <w:sz w:val="18"/>
              </w:rPr>
            </w:r>
            <w:r>
              <w:rPr>
                <w:rFonts w:ascii="Consolas" w:hAnsi="Consolas"/>
                <w:b w:val="0"/>
                <w:i w:val="0"/>
                <w:color w:val="0369A1"/>
                <w:sz w:val="18"/>
              </w:rPr>
              <w:t>ashford, caldwell, northlake, fenwick, marlstone, wrenfield</w:t>
            </w:r>
          </w:p>
        </w:tc>
      </w:tr>
      <w:tr>
        <w:tc>
          <w:tcPr>
            <w:tcW w:type="dxa" w:w="2160"/>
            <w:shd w:val="clear" w:color="auto" w:fill="FFFFFF"/>
            <w:tcMar>
              <w:top w:w="100" w:type="dxa"/>
              <w:bottom w:w="100" w:type="dxa"/>
              <w:left w:w="140" w:type="dxa"/>
              <w:right w:w="140" w:type="dxa"/>
            </w:tcMar>
            <w:tcBorders>
              <w:top w:val="single" w:sz="4" w:space="0" w:color="CBD5E1"/>
              <w:bottom w:val="single" w:sz="4" w:space="0" w:color="CBD5E1"/>
              <w:left w:val="nil"/>
              <w:right w:val="nil"/>
            </w:tcBorders>
          </w:tcPr>
          <w:p>
            <w:pPr>
              <w:spacing w:after="20" w:before="20" w:line="276" w:lineRule="auto"/>
            </w:pPr>
            <w:r>
              <w:rPr>
                <w:rFonts w:ascii="Consolas" w:hAnsi="Consolas"/>
                <w:b/>
                <w:color w:val="0F2C59"/>
                <w:sz w:val="19"/>
              </w:rPr>
            </w:r>
            <w:r>
              <w:rPr>
                <w:rFonts w:ascii="Consolas" w:hAnsi="Consolas"/>
                <w:b/>
                <w:i w:val="0"/>
                <w:color w:val="0F2C59"/>
                <w:sz w:val="19"/>
              </w:rPr>
              <w:t>quarter</w:t>
            </w:r>
          </w:p>
        </w:tc>
        <w:tc>
          <w:tcPr>
            <w:tcW w:type="dxa" w:w="4896"/>
            <w:shd w:val="clear" w:color="auto" w:fill="FFFFFF"/>
            <w:tcMar>
              <w:top w:w="100" w:type="dxa"/>
              <w:bottom w:w="100" w:type="dxa"/>
              <w:left w:w="140" w:type="dxa"/>
              <w:right w:w="140" w:type="dxa"/>
            </w:tcMar>
            <w:tcBorders>
              <w:top w:val="single" w:sz="4" w:space="0" w:color="CBD5E1"/>
              <w:bottom w:val="single" w:sz="4" w:space="0" w:color="CBD5E1"/>
              <w:left w:val="nil"/>
              <w:right w:val="nil"/>
            </w:tcBorders>
          </w:tcPr>
          <w:p>
            <w:pPr>
              <w:spacing w:after="20" w:before="20" w:line="276" w:lineRule="auto"/>
            </w:pPr>
            <w:r>
              <w:rPr>
                <w:rFonts w:ascii="Segoe UI" w:hAnsi="Segoe UI"/>
                <w:color w:val="334155"/>
                <w:sz w:val="19"/>
              </w:rPr>
            </w:r>
            <w:r>
              <w:rPr>
                <w:rFonts w:ascii="Segoe UI" w:hAnsi="Segoe UI"/>
                <w:b w:val="0"/>
                <w:i w:val="0"/>
                <w:color w:val="334155"/>
                <w:sz w:val="19"/>
              </w:rPr>
              <w:t>Fiscal quarter of the campaign flight, format q[1-4][yy].</w:t>
            </w:r>
          </w:p>
        </w:tc>
        <w:tc>
          <w:tcPr>
            <w:tcW w:type="dxa" w:w="2592"/>
            <w:shd w:val="clear" w:color="auto" w:fill="FFFFFF"/>
            <w:tcMar>
              <w:top w:w="100" w:type="dxa"/>
              <w:bottom w:w="100" w:type="dxa"/>
              <w:left w:w="140" w:type="dxa"/>
              <w:right w:w="140" w:type="dxa"/>
            </w:tcMar>
            <w:tcBorders>
              <w:top w:val="single" w:sz="4" w:space="0" w:color="CBD5E1"/>
              <w:bottom w:val="single" w:sz="4" w:space="0" w:color="CBD5E1"/>
              <w:left w:val="nil"/>
              <w:right w:val="nil"/>
            </w:tcBorders>
          </w:tcPr>
          <w:p>
            <w:pPr>
              <w:spacing w:after="20" w:before="20" w:line="276" w:lineRule="auto"/>
            </w:pPr>
            <w:r>
              <w:rPr>
                <w:rFonts w:ascii="Consolas" w:hAnsi="Consolas"/>
                <w:color w:val="0369A1"/>
                <w:sz w:val="18"/>
              </w:rPr>
            </w:r>
            <w:r>
              <w:rPr>
                <w:rFonts w:ascii="Consolas" w:hAnsi="Consolas"/>
                <w:b w:val="0"/>
                <w:i w:val="0"/>
                <w:color w:val="0369A1"/>
                <w:sz w:val="18"/>
              </w:rPr>
              <w:t>q4-25, q1-26, q2-26</w:t>
            </w:r>
          </w:p>
        </w:tc>
      </w:tr>
      <w:tr>
        <w:tc>
          <w:tcPr>
            <w:tcW w:type="dxa" w:w="2160"/>
            <w:shd w:val="clear" w:color="auto" w:fill="F8FAFC"/>
            <w:tcMar>
              <w:top w:w="100" w:type="dxa"/>
              <w:bottom w:w="100" w:type="dxa"/>
              <w:left w:w="140" w:type="dxa"/>
              <w:right w:w="140" w:type="dxa"/>
            </w:tcMar>
            <w:tcBorders>
              <w:top w:val="single" w:sz="4" w:space="0" w:color="CBD5E1"/>
              <w:bottom w:val="single" w:sz="4" w:space="0" w:color="CBD5E1"/>
              <w:left w:val="nil"/>
              <w:right w:val="nil"/>
            </w:tcBorders>
          </w:tcPr>
          <w:p>
            <w:pPr>
              <w:spacing w:after="20" w:before="20" w:line="276" w:lineRule="auto"/>
            </w:pPr>
            <w:r>
              <w:rPr>
                <w:rFonts w:ascii="Consolas" w:hAnsi="Consolas"/>
                <w:b/>
                <w:color w:val="0F2C59"/>
                <w:sz w:val="19"/>
              </w:rPr>
            </w:r>
            <w:r>
              <w:rPr>
                <w:rFonts w:ascii="Consolas" w:hAnsi="Consolas"/>
                <w:b/>
                <w:i w:val="0"/>
                <w:color w:val="0F2C59"/>
                <w:sz w:val="19"/>
              </w:rPr>
              <w:t>channel</w:t>
            </w:r>
          </w:p>
        </w:tc>
        <w:tc>
          <w:tcPr>
            <w:tcW w:type="dxa" w:w="4896"/>
            <w:shd w:val="clear" w:color="auto" w:fill="F8FAFC"/>
            <w:tcMar>
              <w:top w:w="100" w:type="dxa"/>
              <w:bottom w:w="100" w:type="dxa"/>
              <w:left w:w="140" w:type="dxa"/>
              <w:right w:w="140" w:type="dxa"/>
            </w:tcMar>
            <w:tcBorders>
              <w:top w:val="single" w:sz="4" w:space="0" w:color="CBD5E1"/>
              <w:bottom w:val="single" w:sz="4" w:space="0" w:color="CBD5E1"/>
              <w:left w:val="nil"/>
              <w:right w:val="nil"/>
            </w:tcBorders>
          </w:tcPr>
          <w:p>
            <w:pPr>
              <w:spacing w:after="20" w:before="20" w:line="276" w:lineRule="auto"/>
            </w:pPr>
            <w:r>
              <w:rPr>
                <w:rFonts w:ascii="Segoe UI" w:hAnsi="Segoe UI"/>
                <w:color w:val="334155"/>
                <w:sz w:val="19"/>
              </w:rPr>
            </w:r>
            <w:r>
              <w:rPr>
                <w:rFonts w:ascii="Segoe UI" w:hAnsi="Segoe UI"/>
                <w:b w:val="0"/>
                <w:i w:val="0"/>
                <w:color w:val="334155"/>
                <w:sz w:val="19"/>
              </w:rPr>
              <w:t>The paid channel or owned surface driving the impression. Controlled vocabulary.</w:t>
            </w:r>
          </w:p>
        </w:tc>
        <w:tc>
          <w:tcPr>
            <w:tcW w:type="dxa" w:w="2592"/>
            <w:shd w:val="clear" w:color="auto" w:fill="F8FAFC"/>
            <w:tcMar>
              <w:top w:w="100" w:type="dxa"/>
              <w:bottom w:w="100" w:type="dxa"/>
              <w:left w:w="140" w:type="dxa"/>
              <w:right w:w="140" w:type="dxa"/>
            </w:tcMar>
            <w:tcBorders>
              <w:top w:val="single" w:sz="4" w:space="0" w:color="CBD5E1"/>
              <w:bottom w:val="single" w:sz="4" w:space="0" w:color="CBD5E1"/>
              <w:left w:val="nil"/>
              <w:right w:val="nil"/>
            </w:tcBorders>
          </w:tcPr>
          <w:p>
            <w:pPr>
              <w:spacing w:after="20" w:before="20" w:line="276" w:lineRule="auto"/>
            </w:pPr>
            <w:r>
              <w:rPr>
                <w:rFonts w:ascii="Consolas" w:hAnsi="Consolas"/>
                <w:color w:val="0369A1"/>
                <w:sz w:val="18"/>
              </w:rPr>
            </w:r>
            <w:r>
              <w:rPr>
                <w:rFonts w:ascii="Consolas" w:hAnsi="Consolas"/>
                <w:b w:val="0"/>
                <w:i w:val="0"/>
                <w:color w:val="0369A1"/>
                <w:sz w:val="18"/>
              </w:rPr>
              <w:t>progdisplay, paidsearch, paidsocial, linkedin, programaudio, emailnurture, webinar, contentsyn</w:t>
            </w:r>
          </w:p>
        </w:tc>
      </w:tr>
      <w:tr>
        <w:tc>
          <w:tcPr>
            <w:tcW w:type="dxa" w:w="2160"/>
            <w:shd w:val="clear" w:color="auto" w:fill="FFFFFF"/>
            <w:tcMar>
              <w:top w:w="100" w:type="dxa"/>
              <w:bottom w:w="100" w:type="dxa"/>
              <w:left w:w="140" w:type="dxa"/>
              <w:right w:w="140" w:type="dxa"/>
            </w:tcMar>
            <w:tcBorders>
              <w:top w:val="single" w:sz="4" w:space="0" w:color="CBD5E1"/>
              <w:bottom w:val="single" w:sz="4" w:space="0" w:color="CBD5E1"/>
              <w:left w:val="nil"/>
              <w:right w:val="nil"/>
            </w:tcBorders>
          </w:tcPr>
          <w:p>
            <w:pPr>
              <w:spacing w:after="20" w:before="20" w:line="276" w:lineRule="auto"/>
            </w:pPr>
            <w:r>
              <w:rPr>
                <w:rFonts w:ascii="Consolas" w:hAnsi="Consolas"/>
                <w:b/>
                <w:color w:val="0F2C59"/>
                <w:sz w:val="19"/>
              </w:rPr>
            </w:r>
            <w:r>
              <w:rPr>
                <w:rFonts w:ascii="Consolas" w:hAnsi="Consolas"/>
                <w:b/>
                <w:i w:val="0"/>
                <w:color w:val="0F2C59"/>
                <w:sz w:val="19"/>
              </w:rPr>
              <w:t>objective</w:t>
            </w:r>
          </w:p>
        </w:tc>
        <w:tc>
          <w:tcPr>
            <w:tcW w:type="dxa" w:w="4896"/>
            <w:shd w:val="clear" w:color="auto" w:fill="FFFFFF"/>
            <w:tcMar>
              <w:top w:w="100" w:type="dxa"/>
              <w:bottom w:w="100" w:type="dxa"/>
              <w:left w:w="140" w:type="dxa"/>
              <w:right w:w="140" w:type="dxa"/>
            </w:tcMar>
            <w:tcBorders>
              <w:top w:val="single" w:sz="4" w:space="0" w:color="CBD5E1"/>
              <w:bottom w:val="single" w:sz="4" w:space="0" w:color="CBD5E1"/>
              <w:left w:val="nil"/>
              <w:right w:val="nil"/>
            </w:tcBorders>
          </w:tcPr>
          <w:p>
            <w:pPr>
              <w:spacing w:after="20" w:before="20" w:line="276" w:lineRule="auto"/>
            </w:pPr>
            <w:r>
              <w:rPr>
                <w:rFonts w:ascii="Segoe UI" w:hAnsi="Segoe UI"/>
                <w:color w:val="334155"/>
                <w:sz w:val="19"/>
              </w:rPr>
            </w:r>
            <w:r>
              <w:rPr>
                <w:rFonts w:ascii="Segoe UI" w:hAnsi="Segoe UI"/>
                <w:b w:val="0"/>
                <w:i w:val="0"/>
                <w:color w:val="334155"/>
                <w:sz w:val="19"/>
              </w:rPr>
              <w:t>The primary campaign objective. Controlled vocabulary.</w:t>
            </w:r>
          </w:p>
        </w:tc>
        <w:tc>
          <w:tcPr>
            <w:tcW w:type="dxa" w:w="2592"/>
            <w:shd w:val="clear" w:color="auto" w:fill="FFFFFF"/>
            <w:tcMar>
              <w:top w:w="100" w:type="dxa"/>
              <w:bottom w:w="100" w:type="dxa"/>
              <w:left w:w="140" w:type="dxa"/>
              <w:right w:w="140" w:type="dxa"/>
            </w:tcMar>
            <w:tcBorders>
              <w:top w:val="single" w:sz="4" w:space="0" w:color="CBD5E1"/>
              <w:bottom w:val="single" w:sz="4" w:space="0" w:color="CBD5E1"/>
              <w:left w:val="nil"/>
              <w:right w:val="nil"/>
            </w:tcBorders>
          </w:tcPr>
          <w:p>
            <w:pPr>
              <w:spacing w:after="20" w:before="20" w:line="276" w:lineRule="auto"/>
            </w:pPr>
            <w:r>
              <w:rPr>
                <w:rFonts w:ascii="Consolas" w:hAnsi="Consolas"/>
                <w:color w:val="0369A1"/>
                <w:sz w:val="18"/>
              </w:rPr>
            </w:r>
            <w:r>
              <w:rPr>
                <w:rFonts w:ascii="Consolas" w:hAnsi="Consolas"/>
                <w:b w:val="0"/>
                <w:i w:val="0"/>
                <w:color w:val="0369A1"/>
                <w:sz w:val="18"/>
              </w:rPr>
              <w:t>awareness, demandgen, mql, sql, retention, productlaunch</w:t>
            </w:r>
          </w:p>
        </w:tc>
      </w:tr>
    </w:tbl>
    <w:p>
      <w:pPr>
        <w:spacing w:after="120" w:line="300" w:lineRule="auto" w:before="0"/>
      </w:pPr>
    </w:p>
    <w:p>
      <w:pPr>
        <w:keepNext/>
        <w:spacing w:before="280" w:after="100" w:line="300" w:lineRule="auto"/>
      </w:pPr>
      <w:r>
        <w:rPr>
          <w:rFonts w:ascii="Segoe UI" w:hAnsi="Segoe UI"/>
          <w:b/>
          <w:i w:val="0"/>
          <w:color w:val="0369A1"/>
          <w:sz w:val="23"/>
        </w:rPr>
        <w:t>2.3 Worked examples</w:t>
      </w:r>
    </w:p>
    <w:p>
      <w:pPr>
        <w:pStyle w:val="ListBullet"/>
        <w:spacing w:after="60" w:line="300" w:lineRule="auto" w:before="40"/>
        <w:ind w:left="432"/>
      </w:pPr>
      <w:r>
        <w:rPr>
          <w:rFonts w:ascii="Consolas" w:hAnsi="Consolas"/>
          <w:b/>
          <w:i w:val="0"/>
          <w:color w:val="0F2C59"/>
          <w:sz w:val="20"/>
        </w:rPr>
        <w:t>caldwell_q1-26_paidsearch_mql</w:t>
      </w:r>
    </w:p>
    <w:p>
      <w:pPr>
        <w:pStyle w:val="ListBullet"/>
        <w:spacing w:after="60" w:line="300" w:lineRule="auto" w:before="40"/>
        <w:ind w:left="432"/>
      </w:pPr>
      <w:r>
        <w:rPr>
          <w:rFonts w:ascii="Consolas" w:hAnsi="Consolas"/>
          <w:b/>
          <w:i w:val="0"/>
          <w:color w:val="0F2C59"/>
          <w:sz w:val="20"/>
        </w:rPr>
        <w:t>northlake_q1-26_linkedin_demandgen</w:t>
      </w:r>
    </w:p>
    <w:p>
      <w:pPr>
        <w:pStyle w:val="ListBullet"/>
        <w:spacing w:after="200" w:line="300" w:lineRule="auto" w:before="40"/>
        <w:ind w:left="432"/>
      </w:pPr>
      <w:r>
        <w:rPr>
          <w:rFonts w:ascii="Consolas" w:hAnsi="Consolas"/>
          <w:b/>
          <w:i w:val="0"/>
          <w:color w:val="0F2C59"/>
          <w:sz w:val="20"/>
        </w:rPr>
        <w:t>wrenfield_q2-26_webinar_productlaunch</w:t>
      </w:r>
    </w:p>
    <w:p>
      <w:pPr>
        <w:keepNext/>
        <w:spacing w:before="280" w:after="100" w:line="300" w:lineRule="auto"/>
      </w:pPr>
      <w:r>
        <w:rPr>
          <w:rFonts w:ascii="Segoe UI" w:hAnsi="Segoe UI"/>
          <w:b/>
          <w:i w:val="0"/>
          <w:color w:val="0369A1"/>
          <w:sz w:val="23"/>
        </w:rPr>
        <w:t>2.4 Retirement of the legacy Bramwell prefix</w:t>
      </w:r>
    </w:p>
    <w:p>
      <w:pPr>
        <w:spacing w:after="120" w:before="0" w:line="300" w:lineRule="auto"/>
      </w:pPr>
      <w:r>
        <w:rPr>
          <w:rFonts w:ascii="Segoe UI" w:hAnsi="Segoe UI"/>
          <w:b w:val="0"/>
          <w:i w:val="0"/>
          <w:color w:val="334155"/>
          <w:sz w:val="21"/>
        </w:rPr>
        <w:t>The BW- prefix and free-form descriptor field used by pre-close Bramwell are retired for all new work. Historical Bramwell campaign strings remain in place for closed-quarter reporting (Q3 2025 and prior) so as not to disturb the audited attribution history, but any campaign continuing across the January 1, 2026 boundary must be renamed under the Section 2.1 grammar before Q1 2026 spend is posted against it.</w:t>
      </w:r>
    </w:p>
    <w:p>
      <w:pPr>
        <w:keepNext/>
        <w:spacing w:before="280" w:after="100" w:line="300" w:lineRule="auto"/>
      </w:pPr>
      <w:r>
        <w:rPr>
          <w:rFonts w:ascii="Segoe UI" w:hAnsi="Segoe UI"/>
          <w:b/>
          <w:i w:val="0"/>
          <w:color w:val="0369A1"/>
          <w:sz w:val="23"/>
        </w:rPr>
        <w:t>2.5 Renaming mechanics</w:t>
      </w:r>
    </w:p>
    <w:p>
      <w:pPr>
        <w:spacing w:after="120" w:before="0" w:line="300" w:lineRule="auto"/>
      </w:pPr>
      <w:r>
        <w:rPr>
          <w:rFonts w:ascii="Segoe UI" w:hAnsi="Segoe UI"/>
          <w:b w:val="0"/>
          <w:i w:val="0"/>
          <w:color w:val="334155"/>
          <w:sz w:val="21"/>
        </w:rPr>
        <w:t>For each in-flight campaign crossing the boundary, the campaign owner is responsible for:</w:t>
      </w:r>
    </w:p>
    <w:p>
      <w:pPr>
        <w:pStyle w:val="ListNumber"/>
        <w:spacing w:after="80" w:line="300" w:lineRule="auto" w:before="40"/>
        <w:ind w:left="432"/>
      </w:pPr>
      <w:r>
        <w:rPr>
          <w:rFonts w:ascii="Segoe UI" w:hAnsi="Segoe UI"/>
          <w:b w:val="0"/>
          <w:i w:val="0"/>
          <w:color w:val="334155"/>
          <w:sz w:val="21"/>
        </w:rPr>
        <w:t>Updating the ERPNext Campaign object's name field to the new taxonomy string.</w:t>
      </w:r>
    </w:p>
    <w:p>
      <w:pPr>
        <w:pStyle w:val="ListNumber"/>
        <w:spacing w:after="80" w:line="300" w:lineRule="auto" w:before="40"/>
        <w:ind w:left="432"/>
      </w:pPr>
      <w:r>
        <w:rPr>
          <w:rFonts w:ascii="Segoe UI" w:hAnsi="Segoe UI"/>
          <w:b w:val="0"/>
          <w:i w:val="0"/>
          <w:color w:val="334155"/>
          <w:sz w:val="21"/>
        </w:rPr>
        <w:t>Reissuing UTM parameters to the vendor / platform with the new utm_campaign value; requesting the vendor to update the placement label on their side where their system supports it.</w:t>
      </w:r>
    </w:p>
    <w:p>
      <w:pPr>
        <w:pStyle w:val="ListNumber"/>
        <w:spacing w:after="80" w:line="300" w:lineRule="auto" w:before="40"/>
        <w:ind w:left="432"/>
      </w:pPr>
      <w:r>
        <w:rPr>
          <w:rFonts w:ascii="Segoe UI" w:hAnsi="Segoe UI"/>
          <w:b w:val="0"/>
          <w:i w:val="0"/>
          <w:color w:val="334155"/>
          <w:sz w:val="21"/>
        </w:rPr>
        <w:t>Notifying the Analytics &amp; Reporting team so the attribution dashboard's campaign-mapping table is updated to bridge the legacy string to the new string for continuity of pacing views.</w:t>
      </w:r>
    </w:p>
    <w:p>
      <w:pPr>
        <w:pStyle w:val="ListNumber"/>
        <w:spacing w:after="80" w:line="300" w:lineRule="auto" w:before="40"/>
        <w:ind w:left="432"/>
      </w:pPr>
      <w:r>
        <w:rPr>
          <w:rFonts w:ascii="Segoe UI" w:hAnsi="Segoe UI"/>
          <w:b w:val="0"/>
          <w:i w:val="0"/>
          <w:color w:val="334155"/>
          <w:sz w:val="21"/>
        </w:rPr>
        <w:t>Confirming that the underlying vendor Insertion Order, budget worksheet line, and any contractual commitments remain intact — renaming is a labeling operation only and does not modify budget allocation, vendor minimums, or contracted spend obligations.</w:t>
      </w:r>
    </w:p>
    <w:p>
      <w:pPr>
        <w:spacing w:after="240" w:before="120" w:line="300" w:lineRule="auto"/>
      </w:pPr>
      <w:r>
        <w:rPr>
          <w:rFonts w:ascii="Segoe UI" w:hAnsi="Segoe UI"/>
          <w:b/>
          <w:i/>
          <w:color w:val="0F2C59"/>
          <w:sz w:val="21"/>
        </w:rPr>
        <w:t>Point 4 is the operative constraint for the migration note in Section 3.</w:t>
      </w:r>
    </w:p>
    <w:p>
      <w:pPr>
        <w:keepNext/>
        <w:spacing w:before="400" w:after="160" w:line="300" w:lineRule="auto"/>
        <w:pBdr>
          <w:bottom w:val="single" w:sz="12" w:space="6" w:color="0284C7"/>
        </w:pBdr>
      </w:pPr>
      <w:r>
        <w:rPr>
          <w:rFonts w:ascii="Segoe UI" w:hAnsi="Segoe UI"/>
          <w:b/>
          <w:i w:val="0"/>
          <w:color w:val="0F2C59"/>
          <w:sz w:val="27"/>
        </w:rPr>
        <w:t>3. In-Flight Campaign Migration Note</w:t>
      </w:r>
    </w:p>
    <w:p>
      <w:pPr>
        <w:keepNext/>
        <w:spacing w:before="280" w:after="100" w:line="300" w:lineRule="auto"/>
      </w:pPr>
      <w:r>
        <w:rPr>
          <w:rFonts w:ascii="Segoe UI" w:hAnsi="Segoe UI"/>
          <w:b/>
          <w:i w:val="0"/>
          <w:color w:val="0369A1"/>
          <w:sz w:val="23"/>
        </w:rPr>
        <w:t>3.1 Placement identified</w:t>
      </w:r>
    </w:p>
    <w:p>
      <w:pPr>
        <w:spacing w:after="120" w:before="0" w:line="300" w:lineRule="auto"/>
      </w:pPr>
      <w:r>
        <w:rPr>
          <w:rFonts w:ascii="Segoe UI" w:hAnsi="Segoe UI"/>
          <w:b w:val="0"/>
          <w:i w:val="0"/>
          <w:color w:val="334155"/>
          <w:sz w:val="21"/>
        </w:rPr>
        <w:t>One placement currently running under a legacy Bramwell campaign string requires renaming to Thornfield taxonomy for its Q1 2026 continuation:</w:t>
      </w:r>
    </w:p>
    <w:p>
      <w:pPr>
        <w:spacing w:after="60" w:line="300" w:lineRule="auto" w:before="80"/>
        <w:ind w:left="216"/>
      </w:pPr>
      <w:r>
        <w:rPr>
          <w:rFonts w:ascii="Segoe UI" w:hAnsi="Segoe UI"/>
          <w:b/>
          <w:i w:val="0"/>
          <w:color w:val="0F2C59"/>
          <w:sz w:val="21"/>
        </w:rPr>
        <w:t xml:space="preserve">Placement: </w:t>
      </w:r>
      <w:r>
        <w:rPr>
          <w:rFonts w:ascii="Segoe UI" w:hAnsi="Segoe UI"/>
          <w:b w:val="0"/>
          <w:i w:val="0"/>
          <w:color w:val="334155"/>
          <w:sz w:val="21"/>
        </w:rPr>
        <w:t>Life Sciences OEM — MedTech AdNetwork Programmatic Display, Q4 2025</w:t>
      </w:r>
    </w:p>
    <w:p>
      <w:pPr>
        <w:pStyle w:val="ListBullet"/>
        <w:spacing w:after="60" w:line="300" w:lineRule="auto" w:before="40"/>
        <w:ind w:left="432"/>
      </w:pPr>
      <w:r>
        <w:rPr>
          <w:rFonts w:ascii="Segoe UI" w:hAnsi="Segoe UI"/>
          <w:b/>
          <w:i w:val="0"/>
          <w:color w:val="0F2C59"/>
          <w:sz w:val="21"/>
        </w:rPr>
        <w:t>Vendor: MedTech AdNetwork (Sr. Account Manager: Derek Solano)</w:t>
      </w:r>
      <w:r>
        <w:rPr>
          <w:rFonts w:ascii="Segoe UI" w:hAnsi="Segoe UI"/>
          <w:b w:val="0"/>
          <w:i w:val="0"/>
          <w:color w:val="334155"/>
          <w:sz w:val="21"/>
        </w:rPr>
      </w:r>
    </w:p>
    <w:p>
      <w:pPr>
        <w:pStyle w:val="ListBullet"/>
        <w:spacing w:after="60" w:line="300" w:lineRule="auto" w:before="40"/>
        <w:ind w:left="432"/>
      </w:pPr>
      <w:r>
        <w:rPr>
          <w:rFonts w:ascii="Segoe UI" w:hAnsi="Segoe UI"/>
          <w:b/>
          <w:i w:val="0"/>
          <w:color w:val="0F2C59"/>
          <w:sz w:val="21"/>
        </w:rPr>
        <w:t xml:space="preserve">Channel: </w:t>
      </w:r>
      <w:r>
        <w:rPr>
          <w:rFonts w:ascii="Segoe UI" w:hAnsi="Segoe UI"/>
          <w:b w:val="0"/>
          <w:i w:val="0"/>
          <w:color w:val="334155"/>
          <w:sz w:val="21"/>
        </w:rPr>
        <w:t>Programmatic display</w:t>
      </w:r>
    </w:p>
    <w:p>
      <w:pPr>
        <w:pStyle w:val="ListBullet"/>
        <w:spacing w:after="60" w:line="300" w:lineRule="auto" w:before="40"/>
        <w:ind w:left="432"/>
      </w:pPr>
      <w:r>
        <w:rPr>
          <w:rFonts w:ascii="Segoe UI" w:hAnsi="Segoe UI"/>
          <w:b/>
          <w:i w:val="0"/>
          <w:color w:val="0F2C59"/>
          <w:sz w:val="21"/>
        </w:rPr>
        <w:t xml:space="preserve">Current campaign string (legacy Bramwell): </w:t>
      </w:r>
      <w:r>
        <w:rPr>
          <w:rFonts w:ascii="Consolas" w:hAnsi="Consolas"/>
          <w:b/>
          <w:i w:val="0"/>
          <w:color w:val="B91C1C"/>
          <w:sz w:val="20"/>
        </w:rPr>
        <w:t>BW-lifesci-oem-progdisplay-medtechadntwrk-q4</w:t>
      </w:r>
    </w:p>
    <w:p>
      <w:pPr>
        <w:pStyle w:val="ListBullet"/>
        <w:spacing w:after="60" w:line="300" w:lineRule="auto" w:before="40"/>
        <w:ind w:left="432"/>
      </w:pPr>
      <w:r>
        <w:rPr>
          <w:rFonts w:ascii="Segoe UI" w:hAnsi="Segoe UI"/>
          <w:b/>
          <w:i w:val="0"/>
          <w:color w:val="0F2C59"/>
          <w:sz w:val="21"/>
        </w:rPr>
        <w:t>Proposed campaign string (Thornfield taxonomy): larchfield_q1-26_progdisplay_demandgen</w:t>
      </w:r>
      <w:r>
        <w:rPr>
          <w:rFonts w:ascii="Consolas" w:hAnsi="Consolas"/>
          <w:b/>
          <w:i w:val="0"/>
          <w:color w:val="0D9488"/>
          <w:sz w:val="20"/>
        </w:rPr>
      </w:r>
    </w:p>
    <w:p>
      <w:pPr>
        <w:spacing w:after="200" w:line="300" w:lineRule="auto" w:before="160"/>
        <w:ind w:left="432" w:right="288"/>
        <w:shd w:val="clear" w:color="auto" w:fill="F0F9FF"/>
        <w:pBdr>
          <w:left w:val="single" w:sz="24" w:space="12" w:color="0284C7"/>
        </w:pBdr>
      </w:pPr>
      <w:r>
        <w:rPr>
          <w:rFonts w:ascii="Segoe UI" w:hAnsi="Segoe UI"/>
          <w:b w:val="0"/>
          <w:i/>
          <w:color w:val="1E3A8A"/>
          <w:sz w:val="20"/>
        </w:rPr>
        <w:t>Note: the client_short slug is assigned to Larchfield Bioanalytics (ERPNext Customer CUST-2025-0163), the inherited-Bramwell laboratory-instrumentation-OEM account under which this placement is booked; Sofia Bergen has confirmed the Customer master and the rename is final.</w:t>
      </w:r>
      <w:r>
        <w:rPr>
          <w:rFonts w:ascii="Segoe UI" w:hAnsi="Segoe UI"/>
          <w:b w:val="0"/>
          <w:i/>
          <w:color w:val="1E3A8A"/>
          <w:sz w:val="20"/>
        </w:rPr>
      </w:r>
      <w:r>
        <w:rPr>
          <w:rFonts w:ascii="Consolas" w:hAnsi="Consolas"/>
          <w:b/>
          <w:i/>
          <w:color w:val="0369A1"/>
          <w:sz w:val="19"/>
        </w:rPr>
      </w:r>
      <w:r>
        <w:rPr>
          <w:rFonts w:ascii="Segoe UI" w:hAnsi="Segoe UI"/>
          <w:b w:val="0"/>
          <w:i/>
          <w:color w:val="1E3A8A"/>
          <w:sz w:val="20"/>
        </w:rPr>
      </w:r>
    </w:p>
    <w:p>
      <w:pPr>
        <w:keepNext/>
        <w:spacing w:before="280" w:after="100" w:line="300" w:lineRule="auto"/>
      </w:pPr>
      <w:r>
        <w:rPr>
          <w:rFonts w:ascii="Segoe UI" w:hAnsi="Segoe UI"/>
          <w:b/>
          <w:i w:val="0"/>
          <w:color w:val="0369A1"/>
          <w:sz w:val="23"/>
        </w:rPr>
        <w:t>3.2 Q1 2026 budget line</w:t>
      </w:r>
    </w:p>
    <w:p>
      <w:pPr>
        <w:spacing w:after="160" w:line="300" w:lineRule="auto" w:before="0"/>
      </w:pPr>
      <w:r>
        <w:rPr>
          <w:rFonts w:ascii="Segoe UI" w:hAnsi="Segoe UI"/>
          <w:b w:val="0"/>
          <w:i w:val="0"/>
          <w:color w:val="334155"/>
          <w:sz w:val="21"/>
        </w:rPr>
        <w:t>The Q1 2026 Campaign Budget Worksheet (</w:t>
      </w:r>
      <w:r>
        <w:rPr>
          <w:rFonts w:ascii="Consolas" w:hAnsi="Consolas"/>
          <w:b/>
          <w:i w:val="0"/>
          <w:color w:val="0F2C59"/>
          <w:sz w:val="19"/>
        </w:rPr>
        <w:t>Q1_2026_campaign_budget_worksheet.xlsx</w:t>
      </w:r>
      <w:r>
        <w:rPr>
          <w:rFonts w:ascii="Segoe UI" w:hAnsi="Segoe UI"/>
          <w:b w:val="0"/>
          <w:i w:val="0"/>
          <w:color w:val="334155"/>
          <w:sz w:val="21"/>
        </w:rPr>
        <w:t xml:space="preserve">, line item for this placement) carries this placement forward as an ongoing monthly budget line of </w:t>
      </w:r>
      <w:r>
        <w:rPr>
          <w:rFonts w:ascii="Segoe UI" w:hAnsi="Segoe UI"/>
          <w:b/>
          <w:i w:val="0"/>
          <w:color w:val="0F2C59"/>
          <w:sz w:val="21"/>
        </w:rPr>
        <w:t>$22,000</w:t>
      </w:r>
      <w:r>
        <w:rPr>
          <w:rFonts w:ascii="Segoe UI" w:hAnsi="Segoe UI"/>
          <w:b w:val="0"/>
          <w:i w:val="0"/>
          <w:color w:val="334155"/>
          <w:sz w:val="21"/>
        </w:rPr>
        <w:t xml:space="preserve"> per month for the January–March 2026 flight, matching the Q4 2025 monthly pace. This figure is the placement's total planned monthly spend against the MedTech AdNetwork buy.</w:t>
      </w:r>
    </w:p>
    <w:p>
      <w:pPr>
        <w:keepNext/>
        <w:spacing w:before="280" w:after="100" w:line="300" w:lineRule="auto"/>
      </w:pPr>
      <w:r>
        <w:rPr>
          <w:rFonts w:ascii="Segoe UI" w:hAnsi="Segoe UI"/>
          <w:b/>
          <w:i w:val="0"/>
          <w:color w:val="0369A1"/>
          <w:sz w:val="23"/>
        </w:rPr>
        <w:t>3.3 Vendor minimum commitment</w:t>
      </w:r>
    </w:p>
    <w:p>
      <w:pPr>
        <w:spacing w:after="160" w:line="300" w:lineRule="auto" w:before="0"/>
      </w:pPr>
      <w:r>
        <w:rPr>
          <w:rFonts w:ascii="Segoe UI" w:hAnsi="Segoe UI"/>
          <w:b w:val="0"/>
          <w:i w:val="0"/>
          <w:color w:val="334155"/>
          <w:sz w:val="21"/>
        </w:rPr>
        <w:t>This renaming is a labeling operation only and does not modify the underlying budget allocation, vendor obligations, or contracted spend for this placement.</w:t>
      </w:r>
      <w:r>
        <w:rPr>
          <w:rFonts w:ascii="Segoe UI" w:hAnsi="Segoe UI"/>
          <w:b w:val="0"/>
          <w:i w:val="0"/>
          <w:color w:val="334155"/>
          <w:sz w:val="21"/>
        </w:rPr>
      </w:r>
      <w:r>
        <w:rPr>
          <w:rFonts w:ascii="Segoe UI" w:hAnsi="Segoe UI"/>
          <w:b w:val="0"/>
          <w:i w:val="0"/>
          <w:color w:val="334155"/>
          <w:sz w:val="21"/>
        </w:rPr>
      </w:r>
      <w:r>
        <w:rPr>
          <w:rFonts w:ascii="Segoe UI" w:hAnsi="Segoe UI"/>
          <w:b/>
          <w:i w:val="0"/>
          <w:color w:val="334155"/>
          <w:sz w:val="21"/>
        </w:rPr>
      </w:r>
      <w:r>
        <w:rPr>
          <w:rFonts w:ascii="Segoe UI" w:hAnsi="Segoe UI"/>
          <w:b w:val="0"/>
          <w:i w:val="0"/>
          <w:color w:val="334155"/>
          <w:sz w:val="21"/>
        </w:rPr>
      </w:r>
    </w:p>
    <w:p>
      <w:pPr>
        <w:keepNext/>
        <w:spacing w:before="280" w:after="100" w:line="300" w:lineRule="auto"/>
      </w:pPr>
      <w:r>
        <w:rPr>
          <w:rFonts w:ascii="Segoe UI" w:hAnsi="Segoe UI"/>
          <w:b/>
          <w:i w:val="0"/>
          <w:color w:val="0369A1"/>
          <w:sz w:val="23"/>
        </w:rPr>
        <w:t>3.4 Renaming action</w:t>
      </w:r>
    </w:p>
    <w:p>
      <w:pPr>
        <w:spacing w:after="120" w:line="300" w:lineRule="auto" w:before="0"/>
      </w:pPr>
      <w:r>
        <w:rPr>
          <w:rFonts w:ascii="Segoe UI" w:hAnsi="Segoe UI"/>
          <w:b w:val="0"/>
          <w:i w:val="0"/>
          <w:color w:val="334155"/>
          <w:sz w:val="21"/>
        </w:rPr>
        <w:t xml:space="preserve">The renaming of this placement from its legacy Bramwell string to the Thornfield taxonomy string above is to be executed no later than </w:t>
      </w:r>
      <w:r>
        <w:rPr>
          <w:rFonts w:ascii="Segoe UI" w:hAnsi="Segoe UI"/>
          <w:b/>
          <w:i w:val="0"/>
          <w:color w:val="0F2C59"/>
          <w:sz w:val="21"/>
        </w:rPr>
        <w:t>December 31, 2025</w:t>
      </w:r>
      <w:r>
        <w:rPr>
          <w:rFonts w:ascii="Segoe UI" w:hAnsi="Segoe UI"/>
          <w:b w:val="0"/>
          <w:i w:val="0"/>
          <w:color w:val="334155"/>
          <w:sz w:val="21"/>
        </w:rPr>
        <w:t>, so that the first January 2026 impressions and the first Q1 2026 invoice from MedTech AdNetwork post against the new campaign string.</w:t>
      </w:r>
    </w:p>
    <w:p>
      <w:pPr>
        <w:spacing w:after="280" w:line="300" w:lineRule="auto" w:before="0"/>
      </w:pPr>
      <w:r>
        <w:rPr>
          <w:rFonts w:ascii="Segoe UI" w:hAnsi="Segoe UI"/>
          <w:b w:val="0"/>
          <w:i w:val="0"/>
          <w:color w:val="334155"/>
          <w:sz w:val="21"/>
        </w:rPr>
        <w:t>The rename is a labeling operation only; the underlying budget and vendor terms remain in force as documented separately.</w:t>
      </w:r>
      <w:r>
        <w:rPr>
          <w:rFonts w:ascii="Segoe UI" w:hAnsi="Segoe UI"/>
          <w:b w:val="0"/>
          <w:i w:val="0"/>
          <w:color w:val="334155"/>
          <w:sz w:val="21"/>
        </w:rPr>
      </w:r>
      <w:r>
        <w:rPr>
          <w:rFonts w:ascii="Segoe UI" w:hAnsi="Segoe UI"/>
          <w:b w:val="0"/>
          <w:i w:val="0"/>
          <w:color w:val="334155"/>
          <w:sz w:val="21"/>
        </w:rPr>
      </w:r>
      <w:r>
        <w:rPr>
          <w:rFonts w:ascii="Segoe UI" w:hAnsi="Segoe UI"/>
          <w:b w:val="0"/>
          <w:i w:val="0"/>
          <w:color w:val="334155"/>
          <w:sz w:val="21"/>
        </w:rPr>
      </w:r>
      <w:r>
        <w:rPr>
          <w:rFonts w:ascii="Segoe UI" w:hAnsi="Segoe UI"/>
          <w:b w:val="0"/>
          <w:i w:val="0"/>
          <w:color w:val="334155"/>
          <w:sz w:val="21"/>
        </w:rPr>
      </w:r>
    </w:p>
    <w:p>
      <w:pPr>
        <w:spacing w:before="320" w:after="120" w:line="300" w:lineRule="auto"/>
      </w:pPr>
      <w:r>
        <w:rPr>
          <w:rFonts w:ascii="Segoe UI" w:hAnsi="Segoe UI"/>
          <w:b w:val="0"/>
          <w:i w:val="0"/>
          <w:color w:val="CBD5E1"/>
          <w:sz w:val="20"/>
        </w:rPr>
        <w:t>________________________________</w:t>
      </w:r>
    </w:p>
    <w:p>
      <w:pPr>
        <w:spacing w:after="20" w:line="300" w:lineRule="auto" w:before="0"/>
      </w:pPr>
      <w:r>
        <w:rPr>
          <w:rFonts w:ascii="Segoe UI" w:hAnsi="Segoe UI"/>
          <w:b/>
          <w:i w:val="0"/>
          <w:color w:val="0F2C59"/>
          <w:sz w:val="22"/>
        </w:rPr>
        <w:t>Grace Feldman</w:t>
      </w:r>
    </w:p>
    <w:p>
      <w:pPr>
        <w:spacing w:after="20" w:line="300" w:lineRule="auto" w:before="0"/>
      </w:pPr>
      <w:r>
        <w:rPr>
          <w:rFonts w:ascii="Segoe UI" w:hAnsi="Segoe UI"/>
          <w:b w:val="0"/>
          <w:i w:val="0"/>
          <w:color w:val="475569"/>
          <w:sz w:val="20"/>
        </w:rPr>
        <w:t>Director, Analytics &amp; Reporting</w:t>
      </w:r>
    </w:p>
    <w:p>
      <w:pPr>
        <w:spacing w:after="20" w:line="300" w:lineRule="auto" w:before="0"/>
      </w:pPr>
      <w:r>
        <w:rPr>
          <w:rFonts w:ascii="Segoe UI" w:hAnsi="Segoe UI"/>
          <w:b/>
          <w:i w:val="0"/>
          <w:color w:val="0369A1"/>
          <w:sz w:val="20"/>
        </w:rPr>
        <w:t>Thornfield Life Sciences Marketing, Inc.</w:t>
      </w:r>
    </w:p>
    <w:p>
      <w:pPr>
        <w:spacing w:after="160" w:line="300" w:lineRule="auto" w:before="0"/>
      </w:pPr>
      <w:r>
        <w:rPr>
          <w:rFonts w:ascii="Segoe UI" w:hAnsi="Segoe UI"/>
          <w:b w:val="0"/>
          <w:i w:val="0"/>
          <w:color w:val="64748B"/>
          <w:sz w:val="19"/>
        </w:rPr>
        <w:t>12/28/2025</w:t>
      </w:r>
    </w:p>
    <w:p>
      <w:pPr>
        <w:spacing w:before="80" w:line="300" w:lineRule="auto" w:after="240"/>
      </w:pPr>
      <w:r>
        <w:rPr>
          <w:rFonts w:ascii="Segoe UI" w:hAnsi="Segoe UI"/>
          <w:b w:val="0"/>
          <w:i/>
          <w:color w:val="64748B"/>
          <w:sz w:val="19"/>
        </w:rPr>
        <w:t>cc: Priya Ramaswamy (Marketing Operations Lead); Ted Kowalczyk (VP, Paid Media)</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