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THORNFIELD LIFE SCIENCES MARKETING</w:t>
      </w:r>
    </w:p>
    <w:p>
      <w:r>
        <w:rPr>
          <w:b/>
          <w:color w:val="0F172A"/>
          <w:sz w:val="30"/>
        </w:rPr>
        <w:t>Amendment #1 to Insertion Order — Q1 2026 Term Extension</w:t>
      </w:r>
    </w:p>
    <w:p>
      <w:r>
        <w:rPr>
          <w:b w:val="0"/>
          <w:i w:val="0"/>
          <w:color w:val="1E293B"/>
          <w:sz w:val="21"/>
        </w:rPr>
        <w:t>Vendor Insertion Order Amendment — Q1 2026 Minimum Commitment Renewal</w:t>
      </w:r>
    </w:p>
    <w:p>
      <w:r>
        <w:rPr>
          <w:color w:val="475569"/>
          <w:sz w:val="18"/>
        </w:rPr>
        <w:t>Effective: 01/01/2026  |  Document Owner: VP, Paid Media  |  Version: v1.0</w:t>
      </w:r>
    </w:p>
    <w:p>
      <w:r>
        <w:rPr>
          <w:color w:val="475569"/>
          <w:sz w:val="18"/>
        </w:rPr>
        <w:t>Amendment Reference: IO-MTAN-2025-Q4-014 / AMD-01  |  Original IO: IO-MTAN-2025-Q4-014 (dated 09/28/2025)  |  Campaign: Life Sciences OEM — Programmatic Display</w:t>
      </w:r>
    </w:p>
    <w:p>
      <w:r>
        <w:rPr>
          <w:b/>
          <w:color w:val="1E293B"/>
          <w:sz w:val="24"/>
        </w:rPr>
        <w:t>1. Parties</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Buyer</w:t>
            </w:r>
          </w:p>
        </w:tc>
        <w:tc>
          <w:tcPr>
            <w:tcW w:type="dxa" w:w="4824"/>
          </w:tcPr>
          <w:p>
            <w:r/>
            <w:r>
              <w:rPr>
                <w:b/>
                <w:sz w:val="19"/>
              </w:rPr>
              <w:t>Vendor</w:t>
            </w:r>
          </w:p>
        </w:tc>
      </w:tr>
      <w:tr>
        <w:tc>
          <w:tcPr>
            <w:tcW w:type="dxa" w:w="4824"/>
          </w:tcPr>
          <w:p>
            <w:r/>
            <w:r>
              <w:rPr>
                <w:sz w:val="19"/>
              </w:rPr>
              <w:t>Thornfield Life Sciences Marketing, Inc.</w:t>
              <w:br/>
              <w:t>227 Alexander Drive, Suite 400</w:t>
              <w:br/>
              <w:t>Durham, NC 27709</w:t>
              <w:br/>
              <w:t>EIN 47-3812905</w:t>
            </w:r>
          </w:p>
        </w:tc>
        <w:tc>
          <w:tcPr>
            <w:tcW w:type="dxa" w:w="4824"/>
          </w:tcPr>
          <w:p>
            <w:r/>
            <w:r>
              <w:rPr>
                <w:sz w:val="19"/>
              </w:rPr>
              <w:t>MedTech AdNetwork</w:t>
              <w:br/>
              <w:t>245 Park Avenue, New York, NY</w:t>
              <w:br/>
              <w:t>Account Manager: Derek Solano, Sr. Account Manager</w:t>
            </w:r>
          </w:p>
        </w:tc>
      </w:tr>
    </w:tbl>
    <w:p>
      <w:r>
        <w:rPr>
          <w:b/>
          <w:color w:val="1E293B"/>
          <w:sz w:val="24"/>
        </w:rPr>
        <w:t>2. Scope of Amendment</w:t>
      </w:r>
    </w:p>
    <w:p>
      <w:r>
        <w:rPr>
          <w:b w:val="0"/>
          <w:i w:val="0"/>
          <w:color w:val="1E293B"/>
          <w:sz w:val="21"/>
        </w:rPr>
        <w:t>Amendment #1 extends the IO term originally dated 09/28/2025 through Q1 2026 (Jan 1 – Mar 31, 2026), preserving the $15,000/month minimum committed spend for the placement across the full amendment term. All other terms of the original IO remain in effect. This amendment supersedes only the original IO’s Q4 2025 term-end date; the $15,000/month floor is expressly renewed and continues throughout Q1 2026.</w:t>
      </w:r>
    </w:p>
    <w:p>
      <w:r>
        <w:rPr>
          <w:b/>
          <w:color w:val="1E293B"/>
          <w:sz w:val="24"/>
        </w:rPr>
        <w:t>3. Rates / Terms</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Item</w:t>
            </w:r>
          </w:p>
        </w:tc>
        <w:tc>
          <w:tcPr>
            <w:tcW w:type="dxa" w:w="4824"/>
          </w:tcPr>
          <w:p>
            <w:r/>
            <w:r>
              <w:rPr>
                <w:b/>
                <w:sz w:val="19"/>
              </w:rPr>
              <w:t>Rate / Term</w:t>
            </w:r>
          </w:p>
        </w:tc>
      </w:tr>
      <w:tr>
        <w:tc>
          <w:tcPr>
            <w:tcW w:type="dxa" w:w="4824"/>
          </w:tcPr>
          <w:p>
            <w:r/>
            <w:r>
              <w:rPr>
                <w:sz w:val="19"/>
              </w:rPr>
              <w:t>Amended Term</w:t>
            </w:r>
          </w:p>
        </w:tc>
        <w:tc>
          <w:tcPr>
            <w:tcW w:type="dxa" w:w="4824"/>
          </w:tcPr>
          <w:p>
            <w:r/>
            <w:r>
              <w:rPr>
                <w:sz w:val="19"/>
              </w:rPr>
              <w:t>January 1, 2026 through March 31, 2026 (Q1 2026)</w:t>
            </w:r>
          </w:p>
        </w:tc>
      </w:tr>
      <w:tr>
        <w:tc>
          <w:tcPr>
            <w:tcW w:type="dxa" w:w="4824"/>
          </w:tcPr>
          <w:p>
            <w:r/>
            <w:r>
              <w:rPr>
                <w:sz w:val="19"/>
              </w:rPr>
              <w:t>Minimum committed spend</w:t>
            </w:r>
          </w:p>
        </w:tc>
        <w:tc>
          <w:tcPr>
            <w:tcW w:type="dxa" w:w="4824"/>
          </w:tcPr>
          <w:p>
            <w:r/>
            <w:r>
              <w:rPr>
                <w:sz w:val="19"/>
              </w:rPr>
              <w:t>$15,000/month, expressly renewed and continuing throughout Q1 2026¹</w:t>
            </w:r>
          </w:p>
        </w:tc>
      </w:tr>
      <w:tr>
        <w:tc>
          <w:tcPr>
            <w:tcW w:type="dxa" w:w="4824"/>
          </w:tcPr>
          <w:p>
            <w:r/>
            <w:r>
              <w:rPr>
                <w:sz w:val="19"/>
              </w:rPr>
              <w:t>Placement type</w:t>
            </w:r>
          </w:p>
        </w:tc>
        <w:tc>
          <w:tcPr>
            <w:tcW w:type="dxa" w:w="4824"/>
          </w:tcPr>
          <w:p>
            <w:r/>
            <w:r>
              <w:rPr>
                <w:sz w:val="19"/>
              </w:rPr>
              <w:t>Programmatic display (managed) — unchanged from original IO</w:t>
            </w:r>
          </w:p>
        </w:tc>
      </w:tr>
      <w:tr>
        <w:tc>
          <w:tcPr>
            <w:tcW w:type="dxa" w:w="4824"/>
          </w:tcPr>
          <w:p>
            <w:r/>
            <w:r>
              <w:rPr>
                <w:sz w:val="19"/>
              </w:rPr>
              <w:t>Media cost model</w:t>
            </w:r>
          </w:p>
        </w:tc>
        <w:tc>
          <w:tcPr>
            <w:tcW w:type="dxa" w:w="4824"/>
          </w:tcPr>
          <w:p>
            <w:r/>
            <w:r>
              <w:rPr>
                <w:sz w:val="19"/>
              </w:rPr>
              <w:t>Net CPM, fixed rate for the Term — unchanged from the original IO’s Media Plan Appendix (Section 4)</w:t>
            </w:r>
          </w:p>
        </w:tc>
      </w:tr>
      <w:tr>
        <w:tc>
          <w:tcPr>
            <w:tcW w:type="dxa" w:w="4824"/>
          </w:tcPr>
          <w:p>
            <w:r/>
            <w:r>
              <w:rPr>
                <w:sz w:val="19"/>
              </w:rPr>
              <w:t>Payment terms</w:t>
            </w:r>
          </w:p>
        </w:tc>
        <w:tc>
          <w:tcPr>
            <w:tcW w:type="dxa" w:w="4824"/>
          </w:tcPr>
          <w:p>
            <w:r/>
            <w:r>
              <w:rPr>
                <w:sz w:val="19"/>
              </w:rPr>
              <w:t>Net 30 from monthly invoice date — unchanged</w:t>
            </w:r>
          </w:p>
        </w:tc>
      </w:tr>
      <w:tr>
        <w:tc>
          <w:tcPr>
            <w:tcW w:type="dxa" w:w="4824"/>
          </w:tcPr>
          <w:p>
            <w:r/>
            <w:r>
              <w:rPr>
                <w:sz w:val="19"/>
              </w:rPr>
              <w:t>Billing cadence</w:t>
            </w:r>
          </w:p>
        </w:tc>
        <w:tc>
          <w:tcPr>
            <w:tcW w:type="dxa" w:w="4824"/>
          </w:tcPr>
          <w:p>
            <w:r/>
            <w:r>
              <w:rPr>
                <w:sz w:val="19"/>
              </w:rPr>
              <w:t>Monthly, in arrears — unchanged</w:t>
            </w:r>
          </w:p>
        </w:tc>
      </w:tr>
      <w:tr>
        <w:tc>
          <w:tcPr>
            <w:tcW w:type="dxa" w:w="4824"/>
          </w:tcPr>
          <w:p>
            <w:r/>
            <w:r>
              <w:rPr>
                <w:sz w:val="19"/>
              </w:rPr>
              <w:t>Reporting cadence</w:t>
            </w:r>
          </w:p>
        </w:tc>
        <w:tc>
          <w:tcPr>
            <w:tcW w:type="dxa" w:w="4824"/>
          </w:tcPr>
          <w:p>
            <w:r/>
            <w:r>
              <w:rPr>
                <w:sz w:val="19"/>
              </w:rPr>
              <w:t>Weekly pacing; monthly delivery reconciliation — unchanged</w:t>
            </w:r>
          </w:p>
        </w:tc>
      </w:tr>
    </w:tbl>
    <w:p>
      <w:r>
        <w:rPr>
          <w:b/>
          <w:color w:val="1E293B"/>
          <w:sz w:val="24"/>
        </w:rPr>
        <w:t>4. Notes</w:t>
      </w:r>
    </w:p>
    <w:p>
      <w:r>
        <w:rPr>
          <w:b w:val="0"/>
          <w:i/>
          <w:color w:val="1E293B"/>
          <w:sz w:val="18"/>
        </w:rPr>
        <w:t>¹ The $15,000/month minimum committed spend established in Section 4 of the original Insertion Order (IO-MTAN-2025-Q4-014) is renewed by this Amendment and continues throughout Q1 2026 on the same terms. The monthly minimum accrues each calendar month of the amended Term regardless of actual media delivery, campaign pauses, or reallocation of Buyer’s broader media budget. Underspend against the monthly minimum in any calendar month during Q1 2026 remains billable and will be invoiced by Vendor at month-end. Any monthly Buyer spend in excess of $15,000 is billed at the same rate schedule and does not reduce the following month’s minimum.</w:t>
      </w:r>
    </w:p>
    <w:p>
      <w:r>
        <w:rPr>
          <w:b w:val="0"/>
          <w:i w:val="0"/>
          <w:color w:val="1E293B"/>
          <w:sz w:val="21"/>
        </w:rPr>
        <w:t>This Amendment supersedes only the Q4 2025 term-end date (12/31/2025) set forth in Section 3 of the original IO. All other provisions of the original IO — including Scope, Rates / Terms (as extended above), Payment Terms, and the survival language governing the monthly minimum — remain in full force and effect for the amended Term.</w:t>
      </w:r>
    </w:p>
    <w:p>
      <w:r>
        <w:rPr>
          <w:b w:val="0"/>
          <w:i w:val="0"/>
          <w:color w:val="1E293B"/>
          <w:sz w:val="21"/>
        </w:rPr>
        <w:t>No further extension beyond 03/31/2026 is created by this Amendment; any subsequent renewal shall require a separate written amendment executed by both parties.</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Approved by (Buyer)</w:t>
            </w:r>
          </w:p>
        </w:tc>
        <w:tc>
          <w:tcPr>
            <w:tcW w:type="dxa" w:w="4824"/>
          </w:tcPr>
          <w:p>
            <w:r/>
            <w:r>
              <w:rPr>
                <w:b/>
                <w:sz w:val="19"/>
              </w:rPr>
              <w:t>Accepted by (Vendor)</w:t>
            </w:r>
          </w:p>
        </w:tc>
      </w:tr>
      <w:tr>
        <w:tc>
          <w:tcPr>
            <w:tcW w:type="dxa" w:w="4824"/>
          </w:tcPr>
          <w:p>
            <w:r/>
            <w:r>
              <w:rPr>
                <w:sz w:val="19"/>
              </w:rPr>
              <w:t>Ted Kowalczyk, VP, Paid Media</w:t>
              <w:br/>
              <w:t>Thornfield Life Sciences Marketing, Inc.</w:t>
              <w:br/>
              <w:t>Signature: /s/ Ted Kowalczyk</w:t>
              <w:br/>
              <w:t>Date: 12/16/2025</w:t>
            </w:r>
          </w:p>
        </w:tc>
        <w:tc>
          <w:tcPr>
            <w:tcW w:type="dxa" w:w="4824"/>
          </w:tcPr>
          <w:p>
            <w:r/>
            <w:r>
              <w:rPr>
                <w:sz w:val="19"/>
              </w:rPr>
              <w:t>Derek Solano, Sr. Account Manager</w:t>
              <w:br/>
              <w:t>MedTech AdNetwork</w:t>
              <w:br/>
              <w:t>Signature: /s/ Derek Solano</w:t>
              <w:br/>
              <w:t>Date: 12/15/2025</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