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93B"/>
          <w:sz w:val="26"/>
        </w:rPr>
        <w:t>THORNFIELD LIFE SCIENCES MARKETING — CREATIVE</w:t>
      </w:r>
    </w:p>
    <w:p>
      <w:r>
        <w:rPr>
          <w:b/>
          <w:color w:val="0F172A"/>
          <w:sz w:val="30"/>
        </w:rPr>
        <w:t>Creative Brief — Ashford Q4 Instrument Refresh</w:t>
      </w:r>
    </w:p>
    <w:p>
      <w:r>
        <w:rPr>
          <w:color w:val="475569"/>
          <w:sz w:val="18"/>
        </w:rPr>
        <w:t>Client: Ashford Scientific Instruments  |  Version: v1.1  |  Status: SUPERSEDED</w:t>
      </w:r>
    </w:p>
    <w:p>
      <w:r>
        <w:rPr>
          <w:color w:val="475569"/>
          <w:sz w:val="18"/>
        </w:rPr>
        <w:t>Log Entry: LOG-2025-0098  |  Prepared by: Owen Castellano, Creative Director  |  Reviewed by: Owen Castellano  |  Date: 09/22/2025</w:t>
      </w:r>
    </w:p>
    <w:p>
      <w:r>
        <w:rPr>
          <w:b/>
          <w:color w:val="1E293B"/>
          <w:sz w:val="24"/>
        </w:rPr>
        <w:t>1. Objective</w:t>
      </w:r>
    </w:p>
    <w:p>
      <w:r>
        <w:rPr>
          <w:b w:val="0"/>
          <w:i w:val="0"/>
          <w:color w:val="1E293B"/>
          <w:sz w:val="21"/>
        </w:rPr>
        <w:t>Drive awareness and consideration for Ashford Scientific Instruments’ Q4 instrument-line refresh among existing managed-spend accounts and new-logo prospects in the instrumentation segment.</w:t>
      </w:r>
    </w:p>
    <w:p>
      <w:r>
        <w:rPr>
          <w:b/>
          <w:color w:val="1E293B"/>
          <w:sz w:val="24"/>
        </w:rPr>
        <w:t>2. Target Audience</w:t>
      </w:r>
    </w:p>
    <w:p>
      <w:r>
        <w:rPr>
          <w:b w:val="0"/>
          <w:i w:val="0"/>
          <w:color w:val="1E293B"/>
          <w:sz w:val="21"/>
        </w:rPr>
        <w:t>Lab operations managers and procurement leads at mid-to-large life-sciences and diagnostics organizations.</w:t>
      </w:r>
    </w:p>
    <w:p>
      <w:r>
        <w:rPr>
          <w:b/>
          <w:color w:val="1E293B"/>
          <w:sz w:val="24"/>
        </w:rPr>
        <w:t>3. Key Message</w:t>
      </w:r>
    </w:p>
    <w:p>
      <w:r>
        <w:rPr>
          <w:b w:val="0"/>
          <w:i w:val="0"/>
          <w:color w:val="1E293B"/>
          <w:sz w:val="21"/>
        </w:rPr>
        <w:t>Position the refreshed instrument line on measurable operational improvements (throughput, uptime, service turnaround) rather than head-to-head competitive comparison.</w:t>
      </w:r>
    </w:p>
    <w:p>
      <w:r>
        <w:rPr>
          <w:b/>
          <w:color w:val="1E293B"/>
          <w:sz w:val="24"/>
        </w:rPr>
        <w:t>4. Deliverables</w:t>
      </w:r>
    </w:p>
    <w:p>
      <w:r>
        <w:rPr>
          <w:b w:val="0"/>
          <w:i w:val="0"/>
          <w:color w:val="1E293B"/>
          <w:sz w:val="21"/>
        </w:rPr>
        <w:t>Programmatic display creative set (3 sizes), paid-social carousel, landing-page hero module.</w:t>
      </w:r>
    </w:p>
    <w:p>
      <w:r>
        <w:rPr>
          <w:b/>
          <w:color w:val="1E293B"/>
          <w:sz w:val="24"/>
        </w:rPr>
        <w:t>5. Status Note</w:t>
      </w:r>
    </w:p>
    <w:p>
      <w:r>
        <w:rPr>
          <w:b w:val="0"/>
          <w:i w:val="0"/>
          <w:color w:val="1E293B"/>
          <w:sz w:val="21"/>
        </w:rPr>
        <w:t>This version is superseded and retained for audit history only. Concept round; replaced by v2.0</w:t>
      </w:r>
    </w:p>
    <w:p>
      <w:r>
        <w:rPr>
          <w:color w:val="94A3B8"/>
          <w:sz w:val="16"/>
        </w:rPr>
        <w:t>____________________________________________________________</w:t>
      </w:r>
    </w:p>
    <w:p>
      <w:r>
        <w:rPr>
          <w:b w:val="0"/>
          <w:i/>
          <w:color w:val="1E293B"/>
          <w:sz w:val="17"/>
        </w:rPr>
        <w:t>Filed per Creative Brief Doc-Control Log entry LOG-2025-0098: /Creative/DocControl/creative_brief_doc_control_log.xlsx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