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Ashford Q4 Instrument Refresh</w:t>
      </w:r>
    </w:p>
    <w:p>
      <w:r>
        <w:rPr>
          <w:color w:val="475569"/>
          <w:sz w:val="18"/>
        </w:rPr>
        <w:t>Client: Ashford Scientific Instruments  |  Version: v2.0  |  Status: APPROVED</w:t>
      </w:r>
    </w:p>
    <w:p>
      <w:r>
        <w:rPr>
          <w:color w:val="475569"/>
          <w:sz w:val="18"/>
        </w:rPr>
        <w:t>Log Entry: LOG-2025-0099  |  Prepared by: Owen Castellano, Creative Director  |  Approved by: Owen Castellano  |  Date: 10/03/2025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Drive awareness and consideration for Ashford Scientific Instruments’ Q4 instrument-line refresh among existing managed-spend accounts and new-logo prospects in the instrumentation segment.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operations managers and procurement leads at mid-to-large life-sciences and diagnostics organizations.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Position the refreshed instrument line on measurable operational improvements (throughput, uptime, service turnaround) rather than head-to-head competitive comparison.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Programmatic display creative set (3 sizes), paid-social carousel, landing-page hero module.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10/03/2025. Cleared for placement; supersedes v1.1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LOG-2025-0099: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