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Caldwell Diagnostics — Q1 2026 Assay Launch</w:t>
      </w:r>
    </w:p>
    <w:p>
      <w:r>
        <w:rPr>
          <w:color w:val="475569"/>
          <w:sz w:val="18"/>
        </w:rPr>
        <w:t>Client: Caldwell Diagnostics  |  Version: v0.9  |  Status: SUPERSEDED</w:t>
      </w:r>
    </w:p>
    <w:p>
      <w:r>
        <w:rPr>
          <w:color w:val="475569"/>
          <w:sz w:val="18"/>
        </w:rPr>
        <w:t>Log Entry: LOG-2025-0107  |  Prepared by: Owen Castellano, Creative Director  |  Reviewed by: Owen Castellano  |  Date: 11/18/2025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Support the Q1 2026 launch of Caldwell Diagnostics’ new assay-turnaround-time offering with creative concepting for the campaign.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Lab directors and procurement contacts at diagnostics and clinical-lab organizations evaluating assay turnaround options.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Concept and audience/positioning work only. As a regulated in-vitro diagnostics client, no comparative, efficacy, or turnaround-time performance claim in this brief is cleared for external use until it has separately cleared claims-review sign-off per the Compliance Reserve &amp; Claims-Review Policy; this brief governs creative concept and audience targeting, not claim language.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Concept moodboard, positioning statement, campaign creative brief for account-team review.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is superseded and retained for audit history only. Concept round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LOG-2025-0107: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