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26"/>
        </w:rPr>
        <w:t>THORNFIELD LIFE SCIENCES MARKETING — CREATIVE</w:t>
      </w:r>
    </w:p>
    <w:p>
      <w:r>
        <w:rPr>
          <w:b/>
          <w:color w:val="0F172A"/>
          <w:sz w:val="30"/>
        </w:rPr>
        <w:t>Creative Brief — Caldwell Diagnostics — Q1 2026 Assay Launch</w:t>
      </w:r>
    </w:p>
    <w:p>
      <w:r>
        <w:rPr>
          <w:color w:val="475569"/>
          <w:sz w:val="18"/>
        </w:rPr>
        <w:t>Client: Caldwell Diagnostics  |  Version: v1.3  |  Status: APPROVED</w:t>
      </w:r>
    </w:p>
    <w:p>
      <w:r>
        <w:rPr>
          <w:color w:val="475569"/>
          <w:sz w:val="18"/>
        </w:rPr>
        <w:t>Log Entry: LOG-2025-0114  |  Prepared by: Owen Castellano, Creative Director  |  Approved by: Owen Castellano  |  Date: 12/18/2025</w:t>
      </w:r>
    </w:p>
    <w:p>
      <w:r>
        <w:rPr>
          <w:b/>
          <w:color w:val="1E293B"/>
          <w:sz w:val="24"/>
        </w:rPr>
        <w:t>1. Objective</w:t>
      </w:r>
    </w:p>
    <w:p>
      <w:r>
        <w:rPr>
          <w:b w:val="0"/>
          <w:i w:val="0"/>
          <w:color w:val="1E293B"/>
          <w:sz w:val="21"/>
        </w:rPr>
        <w:t>Support the Q1 2026 launch of Caldwell Diagnostics’ new assay-turnaround-time offering with creative concepting for the campaign.</w:t>
      </w:r>
    </w:p>
    <w:p>
      <w:r>
        <w:rPr>
          <w:b/>
          <w:color w:val="1E293B"/>
          <w:sz w:val="24"/>
        </w:rPr>
        <w:t>2. Target Audience</w:t>
      </w:r>
    </w:p>
    <w:p>
      <w:r>
        <w:rPr>
          <w:b w:val="0"/>
          <w:i w:val="0"/>
          <w:color w:val="1E293B"/>
          <w:sz w:val="21"/>
        </w:rPr>
        <w:t>Lab directors and procurement contacts at diagnostics and clinical-lab organizations evaluating assay turnaround options.</w:t>
      </w:r>
    </w:p>
    <w:p>
      <w:r>
        <w:rPr>
          <w:b/>
          <w:color w:val="1E293B"/>
          <w:sz w:val="24"/>
        </w:rPr>
        <w:t>3. Key Message</w:t>
      </w:r>
    </w:p>
    <w:p>
      <w:r>
        <w:rPr>
          <w:b w:val="0"/>
          <w:i w:val="0"/>
          <w:color w:val="1E293B"/>
          <w:sz w:val="21"/>
        </w:rPr>
        <w:t>Concept and audience/positioning work only. As a regulated in-vitro diagnostics client, no comparative, efficacy, or turnaround-time performance claim in this brief is cleared for external use until it has separately cleared claims-review sign-off per the Compliance Reserve &amp; Claims-Review Policy; this brief governs creative concept and audience targeting, not claim language.</w:t>
      </w:r>
    </w:p>
    <w:p>
      <w:r>
        <w:rPr>
          <w:b/>
          <w:color w:val="1E293B"/>
          <w:sz w:val="24"/>
        </w:rPr>
        <w:t>4. Deliverables</w:t>
      </w:r>
    </w:p>
    <w:p>
      <w:r>
        <w:rPr>
          <w:b w:val="0"/>
          <w:i w:val="0"/>
          <w:color w:val="1E293B"/>
          <w:sz w:val="21"/>
        </w:rPr>
        <w:t>Concept moodboard, positioning statement, campaign creative brief for account-team review.</w:t>
      </w:r>
    </w:p>
    <w:p>
      <w:r>
        <w:rPr>
          <w:b/>
          <w:color w:val="1E293B"/>
          <w:sz w:val="24"/>
        </w:rPr>
        <w:t>5. Status Note</w:t>
      </w:r>
    </w:p>
    <w:p>
      <w:r>
        <w:rPr>
          <w:b w:val="0"/>
          <w:i w:val="0"/>
          <w:color w:val="1E293B"/>
          <w:sz w:val="21"/>
        </w:rPr>
        <w:t>This version was approved by Owen Castellano on 12/18/2025. Authoritative version for launch.</w:t>
      </w:r>
    </w:p>
    <w:p>
      <w:r>
        <w:rPr>
          <w:color w:val="94A3B8"/>
          <w:sz w:val="16"/>
        </w:rPr>
        <w:t>____________________________________________________________</w:t>
      </w:r>
    </w:p>
    <w:p>
      <w:r>
        <w:rPr>
          <w:b w:val="0"/>
          <w:i/>
          <w:color w:val="1E293B"/>
          <w:sz w:val="17"/>
        </w:rPr>
        <w:t>Filed per Creative Brief Doc-Control Log entry LOG-2025-0114: /Creative/DocControl/creative_brief_doc_control_log.xlsx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