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26"/>
        </w:rPr>
        <w:t>THORNFIELD LIFE SCIENCES MARKETING — CREATIVE</w:t>
      </w:r>
    </w:p>
    <w:p>
      <w:r>
        <w:rPr>
          <w:b/>
          <w:color w:val="0F172A"/>
          <w:sz w:val="30"/>
        </w:rPr>
        <w:t>Creative Brief — Fenwick Reagent Awareness</w:t>
      </w:r>
    </w:p>
    <w:p>
      <w:r>
        <w:rPr>
          <w:color w:val="475569"/>
          <w:sz w:val="18"/>
        </w:rPr>
        <w:t>Client: Fenwick Genomics  |  Version: v1.4  |  Status: APPROVED</w:t>
      </w:r>
    </w:p>
    <w:p>
      <w:r>
        <w:rPr>
          <w:color w:val="475569"/>
          <w:sz w:val="18"/>
        </w:rPr>
        <w:t>Log Entry: LOG-2025-0102  |  Prepared by: Owen Castellano, Creative Director  |  Approved by: Owen Castellano  |  Date: 10/21/2025</w:t>
      </w:r>
    </w:p>
    <w:p>
      <w:r>
        <w:rPr>
          <w:b/>
          <w:color w:val="1E293B"/>
          <w:sz w:val="24"/>
        </w:rPr>
        <w:t>1. Objective</w:t>
      </w:r>
    </w:p>
    <w:p>
      <w:r>
        <w:rPr>
          <w:b w:val="0"/>
          <w:i w:val="0"/>
          <w:color w:val="1E293B"/>
          <w:sz w:val="21"/>
        </w:rPr>
        <w:t>Build top-of-funnel awareness for Fenwick Genomics’ reagent portfolio among the broader genomics-lab audience beyond Fenwick’s existing customer base.</w:t>
      </w:r>
    </w:p>
    <w:p>
      <w:r>
        <w:rPr>
          <w:b/>
          <w:color w:val="1E293B"/>
          <w:sz w:val="24"/>
        </w:rPr>
        <w:t>2. Target Audience</w:t>
      </w:r>
    </w:p>
    <w:p>
      <w:r>
        <w:rPr>
          <w:b w:val="0"/>
          <w:i w:val="0"/>
          <w:color w:val="1E293B"/>
          <w:sz w:val="21"/>
        </w:rPr>
        <w:t>Genomics-lab researchers and procurement contacts not yet in an active Fenwick relationship.</w:t>
      </w:r>
    </w:p>
    <w:p>
      <w:r>
        <w:rPr>
          <w:b/>
          <w:color w:val="1E293B"/>
          <w:sz w:val="24"/>
        </w:rPr>
        <w:t>3. Key Message</w:t>
      </w:r>
    </w:p>
    <w:p>
      <w:r>
        <w:rPr>
          <w:b w:val="0"/>
          <w:i w:val="0"/>
          <w:color w:val="1E293B"/>
          <w:sz w:val="21"/>
        </w:rPr>
        <w:t>Lead with category education and use-case framing; avoid direct product-to-product comparison claims.</w:t>
      </w:r>
    </w:p>
    <w:p>
      <w:r>
        <w:rPr>
          <w:b/>
          <w:color w:val="1E293B"/>
          <w:sz w:val="24"/>
        </w:rPr>
        <w:t>4. Deliverables</w:t>
      </w:r>
    </w:p>
    <w:p>
      <w:r>
        <w:rPr>
          <w:b w:val="0"/>
          <w:i w:val="0"/>
          <w:color w:val="1E293B"/>
          <w:sz w:val="21"/>
        </w:rPr>
        <w:t>Programmatic display creative set, sponsored-content brief for trade placement, paid-social awareness set.</w:t>
      </w:r>
    </w:p>
    <w:p>
      <w:r>
        <w:rPr>
          <w:b/>
          <w:color w:val="1E293B"/>
          <w:sz w:val="24"/>
        </w:rPr>
        <w:t>5. Status Note</w:t>
      </w:r>
    </w:p>
    <w:p>
      <w:r>
        <w:rPr>
          <w:b w:val="0"/>
          <w:i w:val="0"/>
          <w:color w:val="1E293B"/>
          <w:sz w:val="21"/>
        </w:rPr>
        <w:t>This version was approved by Owen Castellano on 10/21/2025. Cleared for placement</w:t>
      </w:r>
    </w:p>
    <w:p>
      <w:r>
        <w:rPr>
          <w:color w:val="94A3B8"/>
          <w:sz w:val="16"/>
        </w:rPr>
        <w:t>____________________________________________________________</w:t>
      </w:r>
    </w:p>
    <w:p>
      <w:r>
        <w:rPr>
          <w:b w:val="0"/>
          <w:i/>
          <w:color w:val="1E293B"/>
          <w:sz w:val="17"/>
        </w:rPr>
        <w:t>Filed per Creative Brief Doc-Control Log entry LOG-2025-0102: /Creative/DocControl/creative_brief_doc_control_log.xlsx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