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Fenwick Reagent Awareness</w:t>
      </w:r>
    </w:p>
    <w:p>
      <w:r>
        <w:rPr>
          <w:color w:val="475569"/>
          <w:sz w:val="18"/>
        </w:rPr>
        <w:t>Client: Fenwick Genomics  |  Version: v1.5  |  Status: APPROVED</w:t>
      </w:r>
    </w:p>
    <w:p>
      <w:r>
        <w:rPr>
          <w:color w:val="475569"/>
          <w:sz w:val="18"/>
        </w:rPr>
        <w:t>Log Entry: LOG-2025-0109  |  Prepared by: Owen Castellano, Creative Director  |  Approved by: Owen Castellano  |  Date: 12/01/2025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Build top-of-funnel awareness for Fenwick Genomics’ reagent portfolio among the broader genomics-lab audience beyond Fenwick’s existing customer base.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Genomics-lab researchers and procurement contacts not yet in an active Fenwick relationship.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Lead with category education and use-case framing; avoid direct product-to-product comparison claims.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Programmatic display creative set, sponsored-content brief for trade placement, paid-social awareness set.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12/01/2025. Q1 flight extension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LOG-2025-0109: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