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Northlake Renewal Landing</w:t>
      </w:r>
    </w:p>
    <w:p>
      <w:r>
        <w:rPr>
          <w:color w:val="475569"/>
          <w:sz w:val="18"/>
        </w:rPr>
        <w:t>Client: Northlake Bioinstruments  |  Version: v1.3  |  Status: APPROVED</w:t>
      </w:r>
    </w:p>
    <w:p>
      <w:r>
        <w:rPr>
          <w:color w:val="475569"/>
          <w:sz w:val="18"/>
        </w:rPr>
        <w:t>Log Entry: LOG-2025-0111  |  Prepared by: Owen Castellano, Creative Director  |  Approved by: Owen Castellano  |  Date: 12/09/2025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Build a renewal-focused landing page and supporting creative to support Northlake Bioinstruments’ Q4/Q1 renewal push.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Existing Northlake account contacts approaching contract renewal.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Frame renewal around continuity of service and the account team relationship rather than a hard-sell discount narrative; any incentive terms referenced must trace to the governing incentive memo.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Renewal landing page, account-team outreach email template, CTA module.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12/09/2025. Renewal-adjacent CTA refresh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LOG-2025-0111: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