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THORNFIELD LIFE SCIENCES MARKETING</w:t>
      </w:r>
    </w:p>
    <w:p>
      <w:r>
        <w:rPr>
          <w:b/>
          <w:color w:val="0F172A"/>
          <w:sz w:val="30"/>
        </w:rPr>
        <w:t>Master Services Agreement — Executed</w:t>
      </w:r>
    </w:p>
    <w:p>
      <w:r>
        <w:rPr>
          <w:b w:val="0"/>
          <w:i w:val="0"/>
          <w:color w:val="1E293B"/>
          <w:sz w:val="21"/>
        </w:rPr>
        <w:t>Between Thornfield Life Sciences Marketing, Inc. and Caldwell Diagnostics</w:t>
      </w:r>
    </w:p>
    <w:p>
      <w:r>
        <w:rPr>
          <w:color w:val="475569"/>
          <w:sz w:val="18"/>
        </w:rPr>
        <w:t>Effective: 08/01/2024  |  Document Owner: VP, Paid Media  |  Version: v1.0 (executed)</w:t>
      </w:r>
    </w:p>
    <w:p>
      <w:r>
        <w:rPr>
          <w:b w:val="0"/>
          <w:i w:val="0"/>
          <w:color w:val="1E293B"/>
          <w:sz w:val="21"/>
        </w:rPr>
        <w:t>Effective Date: August 1, 2024</w:t>
      </w:r>
    </w:p>
    <w:p>
      <w:r>
        <w:rPr>
          <w:b w:val="0"/>
          <w:i w:val="0"/>
          <w:color w:val="1E293B"/>
          <w:sz w:val="21"/>
        </w:rPr>
        <w:t>ERPNext Sales Order Reference: SO-2024-0261</w:t>
      </w:r>
    </w:p>
    <w:p>
      <w:r>
        <w:rPr>
          <w:b w:val="0"/>
          <w:i w:val="0"/>
          <w:color w:val="1E293B"/>
          <w:sz w:val="21"/>
        </w:rPr>
        <w:t>ERPNext Customer ID: CUST-2025-0088</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Agency</w:t>
            </w:r>
          </w:p>
        </w:tc>
        <w:tc>
          <w:tcPr>
            <w:tcW w:type="dxa" w:w="4824"/>
          </w:tcPr>
          <w:p>
            <w:r/>
            <w:r>
              <w:rPr>
                <w:b/>
                <w:sz w:val="19"/>
              </w:rPr>
              <w:t>Client</w:t>
            </w:r>
          </w:p>
        </w:tc>
      </w:tr>
      <w:tr>
        <w:tc>
          <w:tcPr>
            <w:tcW w:type="dxa" w:w="4824"/>
          </w:tcPr>
          <w:p>
            <w:r/>
            <w:r>
              <w:rPr>
                <w:sz w:val="19"/>
              </w:rPr>
              <w:t>Thornfield Life Sciences Marketing, Inc.</w:t>
              <w:br/>
              <w:t>227 Alexander Drive, Suite 400, Durham, NC 27709</w:t>
              <w:br/>
              <w:t>EIN 47-3812905</w:t>
            </w:r>
          </w:p>
        </w:tc>
        <w:tc>
          <w:tcPr>
            <w:tcW w:type="dxa" w:w="4824"/>
          </w:tcPr>
          <w:p>
            <w:r/>
            <w:r>
              <w:rPr>
                <w:sz w:val="19"/>
              </w:rPr>
              <w:t>Caldwell Diagnostics</w:t>
              <w:br/>
              <w:t>In-vitro diagnostics</w:t>
            </w:r>
          </w:p>
        </w:tc>
      </w:tr>
    </w:tbl>
    <w:p>
      <w:r>
        <w:rPr>
          <w:b/>
          <w:color w:val="1E293B"/>
          <w:sz w:val="24"/>
        </w:rPr>
        <w:t>Instrument</w:t>
      </w:r>
    </w:p>
    <w:p>
      <w:r>
        <w:rPr>
          <w:b w:val="0"/>
          <w:i w:val="0"/>
          <w:color w:val="1E293B"/>
          <w:sz w:val="21"/>
        </w:rPr>
        <w:t>This Master Services Agreement (the "Agreement") is entered into as of the Effective Date set forth above between Thornfield Life Sciences Marketing, Inc. ("Agency") and Caldwell Diagnostics ("Client"), and sets forth the terms and conditions under which Agency will provide life-sciences demand-generation, paid-media, and marketing-operations services to Client during the term specified herein. The Agreement is recorded in Agency’s ERPNext instance under Sales Order SO-2024-0261 and constitutes the entire understanding between the parties with respect to its subject matter as of the Effective Date.</w:t>
      </w:r>
    </w:p>
    <w:p>
      <w:r>
        <w:rPr>
          <w:b/>
          <w:color w:val="1E293B"/>
          <w:sz w:val="24"/>
        </w:rPr>
        <w:t>1. Scope</w:t>
      </w:r>
    </w:p>
    <w:p>
      <w:r>
        <w:rPr>
          <w:b w:val="0"/>
          <w:i w:val="0"/>
          <w:color w:val="1E293B"/>
          <w:sz w:val="21"/>
        </w:rPr>
        <w:t>This Agreement governs all demand-generation, paid-media, campaign-production, and reporting services performed by Agency for Client. Because Client is a regulated in-vitro diagnostics company, all comparative or efficacy-adjacent claims produced under this engagement are subject to Thornfield’s Compliance Reserve &amp; Claims-Review Policy prior to publication.</w:t>
      </w:r>
    </w:p>
    <w:p>
      <w:r>
        <w:rPr>
          <w:b/>
          <w:color w:val="1E293B"/>
          <w:sz w:val="24"/>
        </w:rPr>
        <w:t>2. Term &amp; Retainer</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Item</w:t>
            </w:r>
          </w:p>
        </w:tc>
        <w:tc>
          <w:tcPr>
            <w:tcW w:type="dxa" w:w="4824"/>
          </w:tcPr>
          <w:p>
            <w:r/>
            <w:r>
              <w:rPr>
                <w:b/>
                <w:sz w:val="19"/>
              </w:rPr>
              <w:t>Rate / Term</w:t>
            </w:r>
          </w:p>
        </w:tc>
      </w:tr>
      <w:tr>
        <w:tc>
          <w:tcPr>
            <w:tcW w:type="dxa" w:w="4824"/>
          </w:tcPr>
          <w:p>
            <w:r/>
            <w:r>
              <w:rPr>
                <w:sz w:val="19"/>
              </w:rPr>
              <w:t>Initial term</w:t>
            </w:r>
          </w:p>
        </w:tc>
        <w:tc>
          <w:tcPr>
            <w:tcW w:type="dxa" w:w="4824"/>
          </w:tcPr>
          <w:p>
            <w:r/>
            <w:r>
              <w:rPr>
                <w:sz w:val="19"/>
              </w:rPr>
              <w:t>24-month term, commencing August 1, 2024 and renewing August 1, 2026</w:t>
            </w:r>
          </w:p>
        </w:tc>
      </w:tr>
      <w:tr>
        <w:tc>
          <w:tcPr>
            <w:tcW w:type="dxa" w:w="4824"/>
          </w:tcPr>
          <w:p>
            <w:r/>
            <w:r>
              <w:rPr>
                <w:sz w:val="19"/>
              </w:rPr>
              <w:t>Monthly retainer</w:t>
            </w:r>
          </w:p>
        </w:tc>
        <w:tc>
          <w:tcPr>
            <w:tcW w:type="dxa" w:w="4824"/>
          </w:tcPr>
          <w:p>
            <w:r/>
            <w:r>
              <w:rPr>
                <w:sz w:val="19"/>
              </w:rPr>
              <w:t>$15,360 per calendar month, flat fee — independent of managed platform spend volume</w:t>
            </w:r>
          </w:p>
        </w:tc>
      </w:tr>
      <w:tr>
        <w:tc>
          <w:tcPr>
            <w:tcW w:type="dxa" w:w="4824"/>
          </w:tcPr>
          <w:p>
            <w:r/>
            <w:r>
              <w:rPr>
                <w:sz w:val="19"/>
              </w:rPr>
              <w:t>Fee basis</w:t>
            </w:r>
          </w:p>
        </w:tc>
        <w:tc>
          <w:tcPr>
            <w:tcW w:type="dxa" w:w="4824"/>
          </w:tcPr>
          <w:p>
            <w:r/>
            <w:r>
              <w:rPr>
                <w:sz w:val="19"/>
              </w:rPr>
              <w:t>Fixed monthly retainer per this Agreement; not a percentage-of-managed-spend arrangement</w:t>
            </w:r>
          </w:p>
        </w:tc>
      </w:tr>
      <w:tr>
        <w:tc>
          <w:tcPr>
            <w:tcW w:type="dxa" w:w="4824"/>
          </w:tcPr>
          <w:p>
            <w:r/>
            <w:r>
              <w:rPr>
                <w:sz w:val="19"/>
              </w:rPr>
              <w:t>Sales Order of record</w:t>
            </w:r>
          </w:p>
        </w:tc>
        <w:tc>
          <w:tcPr>
            <w:tcW w:type="dxa" w:w="4824"/>
          </w:tcPr>
          <w:p>
            <w:r/>
            <w:r>
              <w:rPr>
                <w:sz w:val="19"/>
              </w:rPr>
              <w:t>SO-2024-0261 (ERPNext)</w:t>
            </w:r>
          </w:p>
        </w:tc>
      </w:tr>
    </w:tbl>
    <w:p>
      <w:r>
        <w:rPr>
          <w:b w:val="0"/>
          <w:i w:val="0"/>
          <w:color w:val="1E293B"/>
          <w:sz w:val="21"/>
        </w:rPr>
        <w:t>The monthly retainer is billed as a fixed fee regardless of managed platform spend delivered in a given month. Renewal terms are addressed under the account’s renewal-date record in ERPNext (custom field: renewal_date) and the client-services transition/renewal process then in effect.</w:t>
      </w:r>
    </w:p>
    <w:p>
      <w:r>
        <w:rPr>
          <w:b/>
          <w:color w:val="1E293B"/>
          <w:sz w:val="24"/>
        </w:rPr>
        <w:t>3. Fees &amp; Invoicing</w:t>
      </w:r>
    </w:p>
    <w:p>
      <w:r>
        <w:rPr>
          <w:b w:val="0"/>
          <w:i w:val="0"/>
          <w:color w:val="1E293B"/>
          <w:sz w:val="21"/>
        </w:rPr>
        <w:t>The monthly retainer of $15,360 is invoiced per Thornfield’s standard billing cadence. Pass-through media, third-party production costs, and platform fees are billed at cost and are separate from the retainer. All invoices are payable net thirty (30) days from invoice date.</w:t>
      </w:r>
    </w:p>
    <w:p>
      <w:r>
        <w:rPr>
          <w:b/>
          <w:color w:val="1E293B"/>
          <w:sz w:val="24"/>
        </w:rPr>
        <w:t>4. Regulated-Client Compliance</w:t>
      </w:r>
    </w:p>
    <w:p>
      <w:r>
        <w:rPr>
          <w:b w:val="0"/>
          <w:i w:val="0"/>
          <w:color w:val="1E293B"/>
          <w:sz w:val="21"/>
        </w:rPr>
        <w:t>Client is designated a regulated client under Thornfield’s Compliance Reserve &amp; Claims-Review Policy on account of its in-vitro diagnostics business. Comparative claims, efficacy language, and turnaround-time claims produced for Client are routed through Compliance sign-off prior to publication, per the claims review sign-off log maintained by Legal.</w:t>
      </w:r>
    </w:p>
    <w:p>
      <w:r>
        <w:rPr>
          <w:b/>
          <w:color w:val="1E293B"/>
          <w:sz w:val="24"/>
        </w:rPr>
        <w:t>5. Termination</w:t>
      </w:r>
    </w:p>
    <w:p>
      <w:r>
        <w:rPr>
          <w:b/>
          <w:i w:val="0"/>
          <w:color w:val="1E293B"/>
          <w:sz w:val="21"/>
        </w:rPr>
        <w:t>5.1 Termination for Convenience.</w:t>
      </w:r>
    </w:p>
    <w:p>
      <w:r>
        <w:rPr>
          <w:b w:val="0"/>
          <w:i w:val="0"/>
          <w:color w:val="1E293B"/>
          <w:sz w:val="21"/>
        </w:rPr>
        <w:t>Either party may terminate this Agreement for convenience upon thirty (30) days’ prior written notice to the other party.</w:t>
      </w:r>
    </w:p>
    <w:p>
      <w:r>
        <w:rPr>
          <w:b/>
          <w:i w:val="0"/>
          <w:color w:val="1E293B"/>
          <w:sz w:val="21"/>
        </w:rPr>
        <w:t>5.2 Survival.</w:t>
      </w:r>
    </w:p>
    <w:p>
      <w:r>
        <w:rPr>
          <w:b w:val="0"/>
          <w:i w:val="0"/>
          <w:color w:val="1E293B"/>
          <w:sz w:val="21"/>
        </w:rPr>
        <w:t>Accrued payment obligations as of the termination effective date shall survive termination or expiration of this Agreement.</w:t>
      </w:r>
    </w:p>
    <w:p>
      <w:r>
        <w:rPr>
          <w:b/>
          <w:color w:val="1E293B"/>
          <w:sz w:val="24"/>
        </w:rPr>
        <w:t>6. Entire Agreement</w:t>
      </w:r>
    </w:p>
    <w:p>
      <w:r>
        <w:rPr>
          <w:b w:val="0"/>
          <w:i w:val="0"/>
          <w:color w:val="1E293B"/>
          <w:sz w:val="21"/>
        </w:rPr>
        <w:t>This Agreement (including its Sales Order reference SO-2024-0261) constitutes the entire agreement between the parties concerning its subject matter and supersedes all prior negotiations, representations, or agreements, whether written or oral, relating to that subject matter. Amendments require a writing signed by both parties.</w:t>
      </w:r>
    </w:p>
    <w:p>
      <w:r>
        <w:rPr>
          <w:b/>
          <w:color w:val="1E293B"/>
          <w:sz w:val="24"/>
        </w:rPr>
        <w:t>Execution</w:t>
      </w:r>
    </w:p>
    <w:p>
      <w:r>
        <w:rPr>
          <w:b w:val="0"/>
          <w:i w:val="0"/>
          <w:color w:val="1E293B"/>
          <w:sz w:val="21"/>
        </w:rPr>
        <w:t>Approved and executed by the parties as of the Effective Date, August 1, 2024.</w:t>
      </w:r>
    </w:p>
    <w:p>
      <w:r>
        <w:rPr>
          <w:b/>
          <w:i w:val="0"/>
          <w:color w:val="1E293B"/>
          <w:sz w:val="21"/>
        </w:rPr>
        <w:t>AGENCY — Thornfield Life Sciences Marketing, Inc.</w:t>
      </w:r>
    </w:p>
    <w:p>
      <w:r>
        <w:rPr>
          <w:b w:val="0"/>
          <w:i w:val="0"/>
          <w:color w:val="1E293B"/>
          <w:sz w:val="21"/>
        </w:rPr>
        <w:t>Signature: /s/ Ted Kowalczyk</w:t>
      </w:r>
    </w:p>
    <w:p>
      <w:r>
        <w:rPr>
          <w:b w:val="0"/>
          <w:i w:val="0"/>
          <w:color w:val="1E293B"/>
          <w:sz w:val="21"/>
        </w:rPr>
        <w:t>Name: Ted Kowalczyk</w:t>
      </w:r>
    </w:p>
    <w:p>
      <w:r>
        <w:rPr>
          <w:b w:val="0"/>
          <w:i w:val="0"/>
          <w:color w:val="1E293B"/>
          <w:sz w:val="21"/>
        </w:rPr>
        <w:t>Title: VP, Paid Media</w:t>
      </w:r>
    </w:p>
    <w:p>
      <w:r>
        <w:rPr>
          <w:b w:val="0"/>
          <w:i w:val="0"/>
          <w:color w:val="1E293B"/>
          <w:sz w:val="21"/>
        </w:rPr>
        <w:t>Date: 08/01/2024</w:t>
      </w:r>
    </w:p>
    <w:p>
      <w:r>
        <w:rPr>
          <w:b/>
          <w:i w:val="0"/>
          <w:color w:val="1E293B"/>
          <w:sz w:val="21"/>
        </w:rPr>
        <w:t>CLIENT — Caldwell Diagnostics</w:t>
      </w:r>
    </w:p>
    <w:p>
      <w:r>
        <w:rPr>
          <w:b w:val="0"/>
          <w:i w:val="0"/>
          <w:color w:val="1E293B"/>
          <w:sz w:val="21"/>
        </w:rPr>
        <w:t>Signature: /s/ Naledi Khumalo</w:t>
      </w:r>
    </w:p>
    <w:p>
      <w:r>
        <w:rPr>
          <w:b w:val="0"/>
          <w:i w:val="0"/>
          <w:color w:val="1E293B"/>
          <w:sz w:val="21"/>
        </w:rPr>
        <w:t>Name: Dr. Naledi Khumalo</w:t>
      </w:r>
    </w:p>
    <w:p>
      <w:r>
        <w:rPr>
          <w:b w:val="0"/>
          <w:i w:val="0"/>
          <w:color w:val="1E293B"/>
          <w:sz w:val="21"/>
        </w:rPr>
        <w:t>Title: VP, Regulatory Affairs</w:t>
      </w:r>
    </w:p>
    <w:p>
      <w:r>
        <w:rPr>
          <w:b w:val="0"/>
          <w:i w:val="0"/>
          <w:color w:val="1E293B"/>
          <w:sz w:val="21"/>
        </w:rPr>
        <w:t>Date: 08/01/2024</w:t>
      </w:r>
    </w:p>
    <w:p>
      <w:r>
        <w:rPr>
          <w:color w:val="94A3B8"/>
          <w:sz w:val="16"/>
        </w:rPr>
        <w:t>____________________________________________________________</w:t>
      </w:r>
    </w:p>
    <w:p>
      <w:r>
        <w:rPr>
          <w:b w:val="0"/>
          <w:i w:val="0"/>
          <w:color w:val="1E293B"/>
          <w:sz w:val="17"/>
        </w:rPr>
        <w:t>ERPNext Sales Order of record: SO-2024-0261 | Caldwell Diagnostics | Effective August 1, 2024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