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93B"/>
          <w:sz w:val="26"/>
        </w:rPr>
        <w:t>THORNFIELD LIFE SCIENCES MARKETING — ERPNext</w:t>
      </w:r>
    </w:p>
    <w:p>
      <w:r>
        <w:rPr>
          <w:b/>
          <w:color w:val="0F172A"/>
          <w:sz w:val="30"/>
        </w:rPr>
        <w:t>Sales Order — SO-2024-0261</w:t>
      </w:r>
    </w:p>
    <w:p>
      <w:r>
        <w:rPr>
          <w:color w:val="475569"/>
          <w:sz w:val="18"/>
        </w:rPr>
        <w:t>Document Type: Sales Order  |  Status: Submitted  |  Company: Thornfield Life Sciences Marketing, Inc.</w:t>
      </w:r>
    </w:p>
    <w:p>
      <w:r>
        <w:rPr>
          <w:b/>
          <w:color w:val="1E293B"/>
          <w:sz w:val="24"/>
        </w:rPr>
        <w:t>Order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Field</w:t>
            </w:r>
          </w:p>
        </w:tc>
        <w:tc>
          <w:tcPr>
            <w:tcW w:type="dxa" w:w="4824"/>
          </w:tcPr>
          <w:p>
            <w:r/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Sales Order ID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SO-2024-0261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Customer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Caldwell Diagnostics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ERPNext Customer ID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CUST-2025-0088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Customer Contact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Dr. Naledi Khumalo, VP, Regulatory Affairs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Transaction Date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08/01/2024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Term Start Date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08/01/2024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Renewal Date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08/01/2026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Reference Agreement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Master Services Agreement, effective 08/01/2024 (see CaldwellDiagnostics_MSA_executed)</w:t>
            </w:r>
          </w:p>
        </w:tc>
      </w:tr>
    </w:tbl>
    <w:p>
      <w:r>
        <w:rPr>
          <w:b/>
          <w:color w:val="1E293B"/>
          <w:sz w:val="24"/>
        </w:rPr>
        <w:t>Order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/>
            <w:r>
              <w:rPr>
                <w:b/>
                <w:sz w:val="19"/>
              </w:rPr>
              <w:t>Item Code</w:t>
            </w:r>
          </w:p>
        </w:tc>
        <w:tc>
          <w:tcPr>
            <w:tcW w:type="dxa" w:w="1930"/>
          </w:tcPr>
          <w:p>
            <w:r/>
            <w:r>
              <w:rPr>
                <w:b/>
                <w:sz w:val="19"/>
              </w:rPr>
              <w:t>Description</w:t>
            </w:r>
          </w:p>
        </w:tc>
        <w:tc>
          <w:tcPr>
            <w:tcW w:type="dxa" w:w="1930"/>
          </w:tcPr>
          <w:p>
            <w:r/>
            <w:r>
              <w:rPr>
                <w:b/>
                <w:sz w:val="19"/>
              </w:rPr>
              <w:t>Qty</w:t>
            </w:r>
          </w:p>
        </w:tc>
        <w:tc>
          <w:tcPr>
            <w:tcW w:type="dxa" w:w="1930"/>
          </w:tcPr>
          <w:p>
            <w:r/>
            <w:r>
              <w:rPr>
                <w:b/>
                <w:sz w:val="19"/>
              </w:rPr>
              <w:t>Rate</w:t>
            </w:r>
          </w:p>
        </w:tc>
        <w:tc>
          <w:tcPr>
            <w:tcW w:type="dxa" w:w="1930"/>
          </w:tcPr>
          <w:p>
            <w:r/>
            <w:r>
              <w:rPr>
                <w:b/>
                <w:sz w:val="19"/>
              </w:rPr>
              <w:t>Amount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RETAINER-MONTHLY-FLAT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Life-sciences demand-generation, paid-media, and marketing-operations retainer (flat fee, regulated client)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24 (months)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$15,360.00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$368,640.00</w:t>
            </w:r>
          </w:p>
        </w:tc>
      </w:tr>
    </w:tbl>
    <w:p>
      <w:r>
        <w:rPr>
          <w:b/>
          <w:color w:val="1E293B"/>
          <w:sz w:val="24"/>
        </w:rPr>
        <w:t>Terms</w:t>
      </w:r>
    </w:p>
    <w:p>
      <w:r>
        <w:rPr>
          <w:b w:val="0"/>
          <w:i w:val="0"/>
          <w:color w:val="1E293B"/>
          <w:sz w:val="21"/>
        </w:rPr>
        <w:t>Billing: fixed monthly retainer per the Master Services Agreement, independent of managed platform spend volume. Payment terms: net 30 from invoice date.</w:t>
      </w:r>
    </w:p>
    <w:p>
      <w:r>
        <w:rPr>
          <w:b w:val="0"/>
          <w:i w:val="0"/>
          <w:color w:val="1E293B"/>
          <w:sz w:val="21"/>
        </w:rPr>
        <w:t>This Sales Order is the ERPNext system-of-record reference for the Master Services Agreement between Thornfield Life Sciences Marketing, Inc. and Caldwell Diagnostics. Account owner: James Fitzpatrick.</w:t>
      </w:r>
    </w:p>
    <w:p>
      <w:r>
        <w:rPr>
          <w:color w:val="94A3B8"/>
          <w:sz w:val="16"/>
        </w:rPr>
        <w:t>____________________________________________________________</w:t>
      </w:r>
    </w:p>
    <w:p>
      <w:r>
        <w:rPr>
          <w:b w:val="0"/>
          <w:i w:val="0"/>
          <w:color w:val="1E293B"/>
          <w:sz w:val="21"/>
        </w:rPr>
        <w:t>Prepared by: Ted Kowalczyk, VP, Paid Media</w:t>
      </w:r>
    </w:p>
    <w:p>
      <w:r>
        <w:rPr>
          <w:b w:val="0"/>
          <w:i w:val="0"/>
          <w:color w:val="1E293B"/>
          <w:sz w:val="21"/>
        </w:rPr>
        <w:t>Date: 08/01/2024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