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BRAMWELL SCIENTIFIC MARKETING, LLC</w:t>
      </w:r>
    </w:p>
    <w:p>
      <w:r>
        <w:rPr>
          <w:b/>
          <w:color w:val="0F172A"/>
          <w:sz w:val="30"/>
        </w:rPr>
        <w:t>Master Services Agreement — Contract Clause Excerpt</w:t>
      </w:r>
    </w:p>
    <w:p>
      <w:r>
        <w:rPr>
          <w:b w:val="0"/>
          <w:i w:val="0"/>
          <w:color w:val="1E293B"/>
          <w:sz w:val="21"/>
        </w:rPr>
        <w:t>Between Bramwell Scientific Marketing, LLC and Fenwick Genomics, Inc.</w:t>
      </w:r>
    </w:p>
    <w:p>
      <w:r>
        <w:rPr>
          <w:color w:val="475569"/>
          <w:sz w:val="18"/>
        </w:rPr>
        <w:t>Effective: 04/01/2025  |  Document Owner: Founder &amp; Managing Principal  |  Version: v1.0</w:t>
      </w:r>
    </w:p>
    <w:p>
      <w:r>
        <w:rPr>
          <w:b w:val="0"/>
          <w:i w:val="0"/>
          <w:color w:val="1E293B"/>
          <w:sz w:val="21"/>
        </w:rPr>
        <w:t>Effective Date: April 1, 2025</w:t>
      </w:r>
    </w:p>
    <w:p>
      <w:r>
        <w:rPr>
          <w:b w:val="0"/>
          <w:i w:val="0"/>
          <w:color w:val="1E293B"/>
          <w:sz w:val="21"/>
        </w:rPr>
        <w:t>ERPNext Sales Order Reference: SO-2025-0417</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Agency</w:t>
            </w:r>
          </w:p>
        </w:tc>
        <w:tc>
          <w:tcPr>
            <w:tcW w:type="dxa" w:w="4824"/>
          </w:tcPr>
          <w:p>
            <w:r/>
            <w:r>
              <w:rPr>
                <w:b/>
                <w:sz w:val="19"/>
              </w:rPr>
              <w:t>Client</w:t>
            </w:r>
          </w:p>
        </w:tc>
      </w:tr>
      <w:tr>
        <w:tc>
          <w:tcPr>
            <w:tcW w:type="dxa" w:w="4824"/>
          </w:tcPr>
          <w:p>
            <w:r/>
            <w:r>
              <w:rPr>
                <w:sz w:val="19"/>
              </w:rPr>
              <w:t>Bramwell Scientific Marketing, LLC</w:t>
              <w:br/>
              <w:t>51 Church Street, 3rd Floor</w:t>
              <w:br/>
              <w:t>Cambridge, MA 02138</w:t>
              <w:br/>
              <w:t>EIN: 27-6194831</w:t>
            </w:r>
          </w:p>
        </w:tc>
        <w:tc>
          <w:tcPr>
            <w:tcW w:type="dxa" w:w="4824"/>
          </w:tcPr>
          <w:p>
            <w:r/>
            <w:r>
              <w:rPr>
                <w:sz w:val="19"/>
              </w:rPr>
              <w:t>Fenwick Genomics, Inc.</w:t>
              <w:br/>
              <w:t>Waltham, MA</w:t>
            </w:r>
          </w:p>
        </w:tc>
      </w:tr>
    </w:tbl>
    <w:p>
      <w:r>
        <w:rPr>
          <w:b/>
          <w:color w:val="1E293B"/>
          <w:sz w:val="24"/>
        </w:rPr>
        <w:t>Instrument</w:t>
      </w:r>
    </w:p>
    <w:p>
      <w:r>
        <w:rPr>
          <w:b w:val="0"/>
          <w:i w:val="0"/>
          <w:color w:val="1E293B"/>
          <w:sz w:val="21"/>
        </w:rPr>
        <w:t>This Master Services Agreement (the "Agreement") is entered into as of the Effective Date set forth above between Bramwell Scientific Marketing, LLC ("Agency") and Fenwick Genomics, Inc. ("Client"), and sets forth the terms and conditions under which Agency will provide life-sciences demand-generation, paid-media, and marketing-operations services to Client during the term specified herein. The Agreement is recorded in Agency’s ERPNext instance under Sales Order SO-2025-0417 and, together with any statements of work executed thereunder, constitutes the entire understanding between the parties with respect to its subject matter as of the Effective Date.</w:t>
      </w:r>
    </w:p>
    <w:p>
      <w:r>
        <w:rPr>
          <w:b/>
          <w:color w:val="1E293B"/>
          <w:sz w:val="24"/>
        </w:rPr>
        <w:t>1. Scope</w:t>
      </w:r>
    </w:p>
    <w:p>
      <w:r>
        <w:rPr>
          <w:b w:val="0"/>
          <w:i w:val="0"/>
          <w:color w:val="1E293B"/>
          <w:sz w:val="21"/>
        </w:rPr>
        <w:t>This Agreement governs all demand-generation, paid-media, campaign-production, and reporting services performed by Agency for Client during the initial term. Statements of work issued under this Agreement shall reference ERPNext Sales Order SO-2025-0417 and shall be governed exclusively by the terms set out here unless expressly and mutually amended in writing signed by both parties.</w:t>
      </w:r>
    </w:p>
    <w:p>
      <w:r>
        <w:rPr>
          <w:b/>
          <w:color w:val="1E293B"/>
          <w:sz w:val="24"/>
        </w:rPr>
        <w:t>2. Term &amp; Retainer</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Item</w:t>
            </w:r>
          </w:p>
        </w:tc>
        <w:tc>
          <w:tcPr>
            <w:tcW w:type="dxa" w:w="4824"/>
          </w:tcPr>
          <w:p>
            <w:r/>
            <w:r>
              <w:rPr>
                <w:b/>
                <w:sz w:val="19"/>
              </w:rPr>
              <w:t>Rate / Term</w:t>
            </w:r>
          </w:p>
        </w:tc>
      </w:tr>
      <w:tr>
        <w:tc>
          <w:tcPr>
            <w:tcW w:type="dxa" w:w="4824"/>
          </w:tcPr>
          <w:p>
            <w:r/>
            <w:r>
              <w:rPr>
                <w:sz w:val="19"/>
              </w:rPr>
              <w:t>Initial term</w:t>
            </w:r>
          </w:p>
        </w:tc>
        <w:tc>
          <w:tcPr>
            <w:tcW w:type="dxa" w:w="4824"/>
          </w:tcPr>
          <w:p>
            <w:r/>
            <w:r>
              <w:rPr>
                <w:sz w:val="19"/>
              </w:rPr>
              <w:t>12-month initial term, commencing April 1, 2025 and expiring March 31, 2026</w:t>
            </w:r>
          </w:p>
        </w:tc>
      </w:tr>
      <w:tr>
        <w:tc>
          <w:tcPr>
            <w:tcW w:type="dxa" w:w="4824"/>
          </w:tcPr>
          <w:p>
            <w:r/>
            <w:r>
              <w:rPr>
                <w:sz w:val="19"/>
              </w:rPr>
              <w:t>Monthly retainer</w:t>
            </w:r>
          </w:p>
        </w:tc>
        <w:tc>
          <w:tcPr>
            <w:tcW w:type="dxa" w:w="4824"/>
          </w:tcPr>
          <w:p>
            <w:r/>
            <w:r>
              <w:rPr>
                <w:sz w:val="19"/>
              </w:rPr>
              <w:t>$8,500 per calendar month, invoiced in advance on the first business day of each month</w:t>
            </w:r>
          </w:p>
        </w:tc>
      </w:tr>
      <w:tr>
        <w:tc>
          <w:tcPr>
            <w:tcW w:type="dxa" w:w="4824"/>
          </w:tcPr>
          <w:p>
            <w:r/>
            <w:r>
              <w:rPr>
                <w:sz w:val="19"/>
              </w:rPr>
              <w:t>Continuation after expiry</w:t>
            </w:r>
          </w:p>
        </w:tc>
        <w:tc>
          <w:tcPr>
            <w:tcW w:type="dxa" w:w="4824"/>
          </w:tcPr>
          <w:p>
            <w:r/>
            <w:r>
              <w:rPr>
                <w:sz w:val="19"/>
              </w:rPr>
              <w:t>Automatic month-to-month continuation only upon mutual written agreement after expiry</w:t>
            </w:r>
          </w:p>
        </w:tc>
      </w:tr>
      <w:tr>
        <w:tc>
          <w:tcPr>
            <w:tcW w:type="dxa" w:w="4824"/>
          </w:tcPr>
          <w:p>
            <w:r/>
            <w:r>
              <w:rPr>
                <w:sz w:val="19"/>
              </w:rPr>
              <w:t>Sales Order of record</w:t>
            </w:r>
          </w:p>
        </w:tc>
        <w:tc>
          <w:tcPr>
            <w:tcW w:type="dxa" w:w="4824"/>
          </w:tcPr>
          <w:p>
            <w:r/>
            <w:r>
              <w:rPr>
                <w:sz w:val="19"/>
              </w:rPr>
              <w:t>SO-2025-0417 (ERPNext)</w:t>
            </w:r>
          </w:p>
        </w:tc>
      </w:tr>
    </w:tbl>
    <w:p>
      <w:r>
        <w:rPr>
          <w:b w:val="0"/>
          <w:i w:val="0"/>
          <w:color w:val="1E293B"/>
          <w:sz w:val="21"/>
        </w:rPr>
        <w:t>The 12-month initial term is fixed. Absent a written renewal or extension executed by both parties on or after the expiry date, no services shall be deemed continued and no invoices shall issue for periods after March 31, 2026.</w:t>
      </w:r>
    </w:p>
    <w:p>
      <w:r>
        <w:rPr>
          <w:b/>
          <w:color w:val="1E293B"/>
          <w:sz w:val="24"/>
        </w:rPr>
        <w:t>3. Fees &amp; Invoicing</w:t>
      </w:r>
    </w:p>
    <w:p>
      <w:r>
        <w:rPr>
          <w:b w:val="0"/>
          <w:i w:val="0"/>
          <w:color w:val="1E293B"/>
          <w:sz w:val="21"/>
        </w:rPr>
        <w:t>The monthly retainer of $8,500 covers the scope described in Section 1 and any statements of work incorporated by reference. Pass-through media, third-party production costs, and platform fees are billed at cost and are separate from the retainer. All invoices are payable net thirty (30) days from invoice date.</w:t>
      </w:r>
    </w:p>
    <w:p>
      <w:r>
        <w:rPr>
          <w:b/>
          <w:color w:val="1E293B"/>
          <w:sz w:val="24"/>
        </w:rPr>
        <w:t>4. Notes</w:t>
      </w:r>
    </w:p>
    <w:p>
      <w:r>
        <w:rPr>
          <w:b w:val="0"/>
          <w:i/>
          <w:color w:val="1E293B"/>
          <w:sz w:val="18"/>
        </w:rPr>
        <w:t>Continuation after expiry requires an executed written instrument signed by an authorized representative of each party. Continued payment or receipt of services in the absence of such an instrument shall not create an implied renewal.</w:t>
      </w:r>
    </w:p>
    <w:p>
      <w:r>
        <w:rPr>
          <w:b/>
          <w:color w:val="1E293B"/>
          <w:sz w:val="24"/>
        </w:rPr>
        <w:t>5. Termination</w:t>
      </w:r>
    </w:p>
    <w:p>
      <w:r>
        <w:rPr>
          <w:b/>
          <w:i w:val="0"/>
          <w:color w:val="1E293B"/>
          <w:sz w:val="21"/>
        </w:rPr>
        <w:t>5.1 Termination for Convenience.</w:t>
      </w:r>
    </w:p>
    <w:p>
      <w:r>
        <w:rPr>
          <w:b w:val="0"/>
          <w:i w:val="0"/>
          <w:color w:val="1E293B"/>
          <w:sz w:val="21"/>
        </w:rPr>
        <w:t>Either party may terminate this Agreement for convenience upon thirty (30) days’ prior written notice to the other party.</w:t>
      </w:r>
    </w:p>
    <w:p>
      <w:r>
        <w:rPr>
          <w:b/>
          <w:i w:val="0"/>
          <w:color w:val="1E293B"/>
          <w:sz w:val="21"/>
        </w:rPr>
        <w:t>5.2 Early-Termination Fee.</w:t>
      </w:r>
    </w:p>
    <w:p>
      <w:r>
        <w:rPr>
          <w:b w:val="0"/>
          <w:i w:val="0"/>
          <w:color w:val="1E293B"/>
          <w:sz w:val="21"/>
        </w:rPr>
        <w:t>Upon early termination of this Agreement prior to the natural expiry of the 12-month initial term, Client (or Agency, as applicable) shall pay 100% of the monthly retainer fee for each full remaining calendar month in the original 12-month term as an early-termination fee. The early-termination fee is calculated by reference to the calendar months remaining in the original term as of the effective date of termination, at the monthly retainer rate of $8,500 per full remaining calendar month, and is due and payable within thirty (30) days of the termination effective date.</w:t>
      </w:r>
    </w:p>
    <w:p>
      <w:r>
        <w:rPr>
          <w:b/>
          <w:i w:val="0"/>
          <w:color w:val="1E293B"/>
          <w:sz w:val="21"/>
        </w:rPr>
        <w:t>5.3 Survival.</w:t>
      </w:r>
    </w:p>
    <w:p>
      <w:r>
        <w:rPr>
          <w:b w:val="0"/>
          <w:i w:val="0"/>
          <w:color w:val="1E293B"/>
          <w:sz w:val="21"/>
        </w:rPr>
        <w:t>Section 5.2 and any accrued payment obligations shall survive termination or expiration of this Agreement.</w:t>
      </w:r>
    </w:p>
    <w:p>
      <w:r>
        <w:rPr>
          <w:b/>
          <w:color w:val="1E293B"/>
          <w:sz w:val="24"/>
        </w:rPr>
        <w:t>6. Entire Agreement</w:t>
      </w:r>
    </w:p>
    <w:p>
      <w:r>
        <w:rPr>
          <w:b w:val="0"/>
          <w:i w:val="0"/>
          <w:color w:val="1E293B"/>
          <w:sz w:val="21"/>
        </w:rPr>
        <w:t>This Agreement (including its Sales Order reference SO-2025-0417) constitutes the entire agreement between the parties concerning its subject matter and supersedes all prior negotiations, representations, or agreements, whether written or oral, relating to that subject matter. Amendments require a writing signed by both parties.</w:t>
      </w:r>
    </w:p>
    <w:p>
      <w:r>
        <w:rPr>
          <w:b w:val="0"/>
          <w:i w:val="0"/>
          <w:color w:val="1E293B"/>
          <w:sz w:val="21"/>
        </w:rPr>
        <w:t>Approved and executed by the parties as of the Effective Date, April 1, 2025.</w:t>
      </w:r>
    </w:p>
    <w:p>
      <w:r>
        <w:rPr>
          <w:b/>
          <w:i w:val="0"/>
          <w:color w:val="1E293B"/>
          <w:sz w:val="21"/>
        </w:rPr>
        <w:t>AGENCY — Bramwell Scientific Marketing, LLC</w:t>
      </w:r>
    </w:p>
    <w:p>
      <w:r>
        <w:rPr>
          <w:b w:val="0"/>
          <w:i w:val="0"/>
          <w:color w:val="1E293B"/>
          <w:sz w:val="21"/>
        </w:rPr>
        <w:t>Signature: /s/ Marcus Oyelaran</w:t>
      </w:r>
    </w:p>
    <w:p>
      <w:r>
        <w:rPr>
          <w:b w:val="0"/>
          <w:i w:val="0"/>
          <w:color w:val="1E293B"/>
          <w:sz w:val="21"/>
        </w:rPr>
        <w:t>Name: Marcus Oyelaran</w:t>
      </w:r>
    </w:p>
    <w:p>
      <w:r>
        <w:rPr>
          <w:b w:val="0"/>
          <w:i w:val="0"/>
          <w:color w:val="1E293B"/>
          <w:sz w:val="21"/>
        </w:rPr>
        <w:t>Title: Founder &amp; Managing Principal</w:t>
      </w:r>
    </w:p>
    <w:p>
      <w:r>
        <w:rPr>
          <w:b w:val="0"/>
          <w:i w:val="0"/>
          <w:color w:val="1E293B"/>
          <w:sz w:val="21"/>
        </w:rPr>
        <w:t>Date: 04/01/2025</w:t>
      </w:r>
    </w:p>
    <w:p>
      <w:r>
        <w:rPr>
          <w:b/>
          <w:i w:val="0"/>
          <w:color w:val="1E293B"/>
          <w:sz w:val="21"/>
        </w:rPr>
        <w:t>CLIENT — Fenwick Genomics, Inc.</w:t>
      </w:r>
    </w:p>
    <w:p>
      <w:r>
        <w:rPr>
          <w:b w:val="0"/>
          <w:i w:val="0"/>
          <w:color w:val="1E293B"/>
          <w:sz w:val="21"/>
        </w:rPr>
        <w:t>Signature: /s/ H. Ellsworth Barrow</w:t>
      </w:r>
    </w:p>
    <w:p>
      <w:r>
        <w:rPr>
          <w:b w:val="0"/>
          <w:i w:val="0"/>
          <w:color w:val="1E293B"/>
          <w:sz w:val="21"/>
        </w:rPr>
        <w:t>Name: H. Ellsworth Barrow</w:t>
      </w:r>
    </w:p>
    <w:p>
      <w:r>
        <w:rPr>
          <w:b w:val="0"/>
          <w:i w:val="0"/>
          <w:color w:val="1E293B"/>
          <w:sz w:val="21"/>
        </w:rPr>
        <w:t>Title: Vice President</w:t>
      </w:r>
    </w:p>
    <w:p>
      <w:r>
        <w:rPr>
          <w:b w:val="0"/>
          <w:i w:val="0"/>
          <w:color w:val="1E293B"/>
          <w:sz w:val="21"/>
        </w:rPr>
        <w:t>Date: 04/01/2025</w:t>
      </w:r>
    </w:p>
    <w:p>
      <w:r>
        <w:rPr>
          <w:b w:val="0"/>
          <w:i w:val="0"/>
          <w:color w:val="1E293B"/>
          <w:sz w:val="17"/>
        </w:rPr>
        <w:t>ERPNext Sales Order of record: SO-2025-0417 | Fenwick Genomics, Inc. | Effective April 1, 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