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</w:t>
      </w:r>
    </w:p>
    <w:p>
      <w:r>
        <w:rPr>
          <w:b/>
          <w:color w:val="0F172A"/>
          <w:sz w:val="30"/>
        </w:rPr>
        <w:t>Standard Rate Card</w:t>
      </w:r>
    </w:p>
    <w:p>
      <w:r>
        <w:rPr>
          <w:b w:val="0"/>
          <w:i w:val="0"/>
          <w:color w:val="1E293B"/>
          <w:sz w:val="21"/>
        </w:rPr>
        <w:t>Company-wide standard schedule for managed-spend engagements</w:t>
      </w:r>
    </w:p>
    <w:p>
      <w:r>
        <w:rPr>
          <w:color w:val="475569"/>
          <w:sz w:val="18"/>
        </w:rPr>
        <w:t>Effective: 09/01/2025  |  Document Owner: VP, Paid Media  |  Version: v1.0</w:t>
      </w:r>
    </w:p>
    <w:p>
      <w:r>
        <w:rPr>
          <w:b/>
          <w:color w:val="1E293B"/>
          <w:sz w:val="24"/>
        </w:rPr>
        <w:t>1. Scope</w:t>
      </w:r>
    </w:p>
    <w:p>
      <w:r>
        <w:rPr>
          <w:b w:val="0"/>
          <w:i w:val="0"/>
          <w:color w:val="1E293B"/>
          <w:sz w:val="21"/>
        </w:rPr>
        <w:t>Standard schedule applies to ongoing billing across all client tiers. Legacy-account renewal rate schedule (see separate document) governs only inherited-Bramwell account renewal events.</w:t>
      </w:r>
    </w:p>
    <w:p>
      <w:r>
        <w:rPr>
          <w:b/>
          <w:color w:val="1E293B"/>
          <w:sz w:val="24"/>
        </w:rPr>
        <w:t>2. Rates /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Rate / Term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Base Management Fee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12% of managed spend, applied to all active client engagements company-wide, effective 9/1/2025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Multi-Year Renewal Discount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15% discount on contracted base value for multi-year renewal terms (24 months or greater)</w:t>
            </w:r>
          </w:p>
        </w:tc>
      </w:tr>
    </w:tbl>
    <w:p>
      <w:r>
        <w:rPr>
          <w:b/>
          <w:color w:val="1E293B"/>
          <w:sz w:val="24"/>
        </w:rPr>
        <w:t>3. Notes</w:t>
      </w:r>
    </w:p>
    <w:p>
      <w:r>
        <w:rPr>
          <w:b w:val="0"/>
          <w:i w:val="0"/>
          <w:color w:val="1E293B"/>
          <w:sz w:val="21"/>
        </w:rPr>
        <w:t>Base Management Fee is billed monthly against qualifying managed platform spend for the billing period. Multi-Year Renewal Discount applies to the contracted base value of a renewal engagement whose committed term is twenty-four (24) months or greater; term length is measured from the renewal effective date. Legacy-account renewal terms for inherited Bramwell accounts are addressed under a separate schedule and are not restated here.</w:t>
      </w:r>
    </w:p>
    <w:p>
      <w:r>
        <w:rPr>
          <w:b w:val="0"/>
          <w:i w:val="0"/>
          <w:color w:val="1E293B"/>
          <w:sz w:val="21"/>
        </w:rPr>
        <w:t>Effective 09/01/2025 — supersedes prior Thornfield rate cards. Contact: Ted Kowalczyk, VP Paid Media.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 w:val="0"/>
          <w:color w:val="1E293B"/>
          <w:sz w:val="21"/>
        </w:rPr>
        <w:t>Approved by: Ted Kowalczyk, VP Paid Media</w:t>
        <w:tab/>
        <w:t>Date: 09/01/2025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