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</w:t>
      </w:r>
    </w:p>
    <w:p>
      <w:r>
        <w:rPr>
          <w:b/>
          <w:color w:val="0F172A"/>
          <w:sz w:val="30"/>
        </w:rPr>
        <w:t>Legacy-Accounts Renewal Rate Schedule (v2) — Effective 12/10/2025</w:t>
      </w:r>
    </w:p>
    <w:p>
      <w:r>
        <w:rPr>
          <w:color w:val="475569"/>
          <w:sz w:val="18"/>
        </w:rPr>
        <w:t>Effective: 12/10/2025  |  Document Owner: VP, Paid Media  |  Version: v2.0</w:t>
      </w:r>
    </w:p>
    <w:p>
      <w:r>
        <w:rPr>
          <w:b/>
          <w:color w:val="1E293B"/>
          <w:sz w:val="24"/>
        </w:rPr>
        <w:t>1. Scope</w:t>
      </w:r>
    </w:p>
    <w:p>
      <w:r>
        <w:rPr>
          <w:b w:val="0"/>
          <w:i w:val="0"/>
          <w:color w:val="1E293B"/>
          <w:sz w:val="21"/>
        </w:rPr>
        <w:t>Effective 12/10/2025, the management fee for inherited-Bramwell account renewals is 13% of managed spend. This schedule applies exclusively to customer records carrying the ERPNext account_origin = "Inherited — Bramwell" designation at a renewal event, and only where the renewal effective date recorded against the underlying Sales Order (custom field: renewal_date) falls on or after 12/10/2025. This schedule is forward-looking from its effective date.</w:t>
      </w:r>
    </w:p>
    <w:p>
      <w:r>
        <w:rPr>
          <w:b w:val="0"/>
          <w:i w:val="0"/>
          <w:color w:val="1E293B"/>
          <w:sz w:val="21"/>
        </w:rPr>
        <w:t>This schedule does not apply outside of a renewal event. Ongoing monthly billing for inherited-Bramwell accounts — including any billing that falls between renewal events — continues under Thornfield’s standard rate card (12%) and is unaffected by this document. Accounts native to Thornfield are also outside the scope of this schedule.</w:t>
      </w:r>
    </w:p>
    <w:p>
      <w:r>
        <w:rPr>
          <w:b/>
          <w:color w:val="1E293B"/>
          <w:sz w:val="24"/>
        </w:rPr>
        <w:t>2. Rates /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Rate / Term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Legacy-Accounts Renewal Management Fee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13% of managed spend at renewal, for inherited-Bramwell accounts renewing on or after 12/10/2025.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Applicability Window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Renewal effective dates from 12/10/2025 forward, until superseded.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Fee Basis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Qualifying managed platform spend billed for the renewal term.</w:t>
            </w:r>
          </w:p>
        </w:tc>
      </w:tr>
    </w:tbl>
    <w:p>
      <w:r>
        <w:rPr>
          <w:b/>
          <w:color w:val="1E293B"/>
          <w:sz w:val="24"/>
        </w:rPr>
        <w:t>3. Notes</w:t>
      </w:r>
    </w:p>
    <w:p>
      <w:r>
        <w:rPr>
          <w:b w:val="0"/>
          <w:i w:val="0"/>
          <w:color w:val="1E293B"/>
          <w:sz w:val="21"/>
        </w:rPr>
        <w:t>The 13% legacy renewal rate is a narrower, renewal-only schedule and remains distinct from the company-wide 12% base management fee set out in the Thornfield Standard Rate Card. Ongoing monthly billing for inherited-Bramwell accounts continues under the standard 12% schedule; this document governs only the fee applied at a qualifying renewal event.</w:t>
      </w:r>
    </w:p>
    <w:p>
      <w:r>
        <w:rPr>
          <w:b w:val="0"/>
          <w:i w:val="0"/>
          <w:color w:val="1E293B"/>
          <w:sz w:val="21"/>
        </w:rPr>
        <w:t>Rate lock-in is determined by the renewal effective date recorded against the underlying Sales Order in ERPNext (custom field: renewal_date).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 w:val="0"/>
          <w:color w:val="1E293B"/>
          <w:sz w:val="21"/>
        </w:rPr>
        <w:t>Approved by: Ted Kowalczyk, VP Paid Media</w:t>
        <w:tab/>
        <w:t>Date: 12/10/2025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