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THORNFIELD LIFE SCIENCES MARKETING</w:t>
      </w:r>
    </w:p>
    <w:p>
      <w:r>
        <w:rPr>
          <w:b/>
          <w:color w:val="0F172A"/>
          <w:sz w:val="30"/>
        </w:rPr>
        <w:t>Thornfield Pricing Policy — Discount Stacking Cap (v1)</w:t>
      </w:r>
    </w:p>
    <w:p>
      <w:r>
        <w:rPr>
          <w:color w:val="475569"/>
          <w:sz w:val="18"/>
        </w:rPr>
        <w:t>Effective: 10/15/2025  |  Document Owner: VP, Paid Media  |  Version: v1</w:t>
      </w:r>
    </w:p>
    <w:p>
      <w:r>
        <w:rPr>
          <w:b/>
          <w:color w:val="1E293B"/>
          <w:sz w:val="24"/>
        </w:rPr>
        <w:t>1. Scope</w:t>
      </w:r>
    </w:p>
    <w:p>
      <w:r>
        <w:rPr>
          <w:b w:val="0"/>
          <w:i w:val="0"/>
          <w:color w:val="1E293B"/>
          <w:sz w:val="21"/>
        </w:rPr>
        <w:t>Applies to all Thornfield client engagements, retainers, and renewal quotes issued on or after the effective date. Governs the interaction between the Thornfield Standard Rate Card (Thornfield_rate_card.pdf), the Client Incentive Programs memo covering the early-renewal incentive and referral credit (early_renewal_incentive_memo.docx), and any additional client-facing incentive, credit, or promotional discount introduced from time to time. Legacy-account renewal rate schedules for inherited Bramwell accounts are addressed under a separate document and are not restated here.</w:t>
      </w:r>
    </w:p>
    <w:p>
      <w:r>
        <w:rPr>
          <w:b/>
          <w:color w:val="1E293B"/>
          <w:sz w:val="24"/>
        </w:rPr>
        <w:t>2. Pricing Philosophy</w:t>
      </w:r>
    </w:p>
    <w:p>
      <w:r>
        <w:rPr>
          <w:b w:val="0"/>
          <w:i w:val="0"/>
          <w:color w:val="1E293B"/>
          <w:sz w:val="21"/>
        </w:rPr>
        <w:t>Thornfield’s pricing posture is that headline rates on the standard rate card reflect the fair economic value of a full-service life-sciences demand-generation engagement, and that client-facing incentives — multi-year renewal terms, early-renewal signing, referral credit, and any successor programs — exist to reward specific commercial behaviors rather than to be freely combined into open-ended discounting. Discounts stack according to the rules stated in the governing rate card and incentive memos, but the total blended concession offered to any single client on any single engagement is constrained by the ceiling described in the footnote below. This ceiling is a hard commercial guardrail and applies before any quote is issued or countersigned; account leads should size proposals against it rather than assume that any arithmetically valid sum of qualifying incentives is available. Where the rules in the rate card and incentive memos govern how discounts combine, the footnote below governs how much combined discount may ultimately be extended.¹</w:t>
      </w:r>
    </w:p>
    <w:p>
      <w:r>
        <w:rPr>
          <w:b/>
          <w:color w:val="1E293B"/>
          <w:sz w:val="24"/>
        </w:rPr>
        <w:t>3. Notes</w:t>
      </w:r>
    </w:p>
    <w:p>
      <w:r>
        <w:rPr>
          <w:b w:val="0"/>
          <w:i w:val="0"/>
          <w:color w:val="1E293B"/>
          <w:sz w:val="21"/>
        </w:rPr>
        <w:t>The stacking cap described in the footnote is a policy-level constraint and does not alter the individual eligibility rules of any component discount. Component discounts (multi-year renewal, early-renewal, referral, and any successor incentive) remain governed by their own source documents; the cap is applied only after each component has been separately qualified and the governing incentive (per that memo’s precedence rule) has been selected. Nothing in this policy authorizes new discount categories or expands eligibility for existing ones.</w:t>
      </w:r>
    </w:p>
    <w:p>
      <w:r>
        <w:rPr>
          <w:b w:val="0"/>
          <w:i/>
          <w:color w:val="1E293B"/>
          <w:sz w:val="18"/>
        </w:rPr>
        <w:t>Footnote 1: Any combination of stacked client discounts across the rate card, early-renewal incentive, referral credit, and any other client-facing incentive shall not exceed 17% total, regardless of how many individual discounts qualify. The 17% cap is enforced regardless of the arithmetic sum of qualifying incentives.</w:t>
      </w:r>
    </w:p>
    <w:p>
      <w:r>
        <w:rPr>
          <w:color w:val="94A3B8"/>
          <w:sz w:val="16"/>
        </w:rPr>
        <w:t>____________________________________________________________</w:t>
      </w:r>
    </w:p>
    <w:p>
      <w:r>
        <w:rPr>
          <w:b w:val="0"/>
          <w:i w:val="0"/>
          <w:color w:val="1E293B"/>
          <w:sz w:val="21"/>
        </w:rPr>
        <w:t>Approved by: Ted Kowalczyk, VP Paid Media</w:t>
        <w:tab/>
        <w:t>Date: 10/15/2025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