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26"/>
        </w:rPr>
        <w:t>THORNFIELD LIFE SCIENCES MARKETING</w:t>
      </w:r>
    </w:p>
    <w:p>
      <w:r>
        <w:rPr>
          <w:b/>
          <w:color w:val="0F172A"/>
          <w:sz w:val="30"/>
        </w:rPr>
        <w:t>Insertion Order — Q4 2025 / Media Plan Appendix</w:t>
      </w:r>
    </w:p>
    <w:p>
      <w:r>
        <w:rPr>
          <w:b w:val="0"/>
          <w:i w:val="0"/>
          <w:color w:val="1E293B"/>
          <w:sz w:val="21"/>
        </w:rPr>
        <w:t>Vendor Insertion Order — programmatic display placement, MedTech AdNetwork.</w:t>
      </w:r>
    </w:p>
    <w:p>
      <w:r>
        <w:rPr>
          <w:color w:val="475569"/>
          <w:sz w:val="18"/>
        </w:rPr>
        <w:t>Effective: 10/01/2025  |  Document Owner: VP, Paid Media  |  Version: v1.0</w:t>
      </w:r>
    </w:p>
    <w:p>
      <w:r>
        <w:rPr>
          <w:color w:val="475569"/>
          <w:sz w:val="18"/>
        </w:rPr>
        <w:t>IO Number: IO-MTAN-2025-Q4-014     Campaign: Life Sciences OEM — Programmatic Display</w:t>
      </w:r>
    </w:p>
    <w:p>
      <w:r>
        <w:rPr>
          <w:b/>
          <w:color w:val="1E293B"/>
          <w:sz w:val="24"/>
        </w:rPr>
        <w:t>1. Parties</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Buyer</w:t>
            </w:r>
          </w:p>
        </w:tc>
        <w:tc>
          <w:tcPr>
            <w:tcW w:type="dxa" w:w="4824"/>
          </w:tcPr>
          <w:p>
            <w:r/>
            <w:r>
              <w:rPr>
                <w:b/>
                <w:sz w:val="19"/>
              </w:rPr>
              <w:t>Vendor</w:t>
            </w:r>
          </w:p>
        </w:tc>
      </w:tr>
      <w:tr>
        <w:tc>
          <w:tcPr>
            <w:tcW w:type="dxa" w:w="4824"/>
          </w:tcPr>
          <w:p>
            <w:r/>
            <w:r>
              <w:rPr>
                <w:sz w:val="19"/>
              </w:rPr>
              <w:t>Thornfield Life Sciences Marketing, Inc.</w:t>
              <w:br/>
              <w:t>227 Alexander Drive, Suite 400, Durham, NC 27709</w:t>
              <w:br/>
              <w:t>EIN 47-3812905</w:t>
            </w:r>
          </w:p>
        </w:tc>
        <w:tc>
          <w:tcPr>
            <w:tcW w:type="dxa" w:w="4824"/>
          </w:tcPr>
          <w:p>
            <w:r/>
            <w:r>
              <w:rPr>
                <w:sz w:val="19"/>
              </w:rPr>
              <w:t>MedTech AdNetwork</w:t>
              <w:br/>
              <w:t>245 Park Avenue, New York, NY</w:t>
              <w:br/>
              <w:t>Account Manager: Derek Solano, Sr. Account Manager</w:t>
            </w:r>
          </w:p>
        </w:tc>
      </w:tr>
    </w:tbl>
    <w:p>
      <w:r>
        <w:rPr>
          <w:b/>
          <w:color w:val="1E293B"/>
          <w:sz w:val="24"/>
        </w:rPr>
        <w:t>2. Scope</w:t>
      </w:r>
    </w:p>
    <w:p>
      <w:r>
        <w:rPr>
          <w:b w:val="0"/>
          <w:i w:val="0"/>
          <w:color w:val="1E293B"/>
          <w:sz w:val="21"/>
        </w:rPr>
        <w:t>Vendor shall deliver programmatic display media placement in support of Buyer’s Life Sciences OEM demand-generation campaign. Placement is executed through MedTech AdNetwork’s managed programmatic display inventory across the vendor’s life-sciences and healthcare publisher network. Reporting cadence, creative specifications, and targeting parameters are governed by Section 4 of this Media Plan Appendix, below, and by the vendor’s standard trafficking SOP.</w:t>
      </w:r>
    </w:p>
    <w:p>
      <w:r>
        <w:rPr>
          <w:b w:val="0"/>
          <w:i w:val="0"/>
          <w:color w:val="1E293B"/>
          <w:sz w:val="21"/>
        </w:rPr>
        <w:t>This Insertion Order supersedes any prior verbal commitments related to Q4 2025 placement between the parties and does not apply retroactively to prior-quarter activity.</w:t>
      </w:r>
    </w:p>
    <w:p>
      <w:r>
        <w:rPr>
          <w:b/>
          <w:color w:val="1E293B"/>
          <w:sz w:val="24"/>
        </w:rPr>
        <w:t>3. Term</w:t>
      </w:r>
    </w:p>
    <w:p>
      <w:r>
        <w:rPr>
          <w:b w:val="0"/>
          <w:i w:val="0"/>
          <w:color w:val="1E293B"/>
          <w:sz w:val="21"/>
        </w:rPr>
        <w:t>Q4 2025 — October 1, 2025 through December 31, 2025.</w:t>
      </w:r>
    </w:p>
    <w:p>
      <w:r>
        <w:rPr>
          <w:b w:val="0"/>
          <w:i w:val="0"/>
          <w:color w:val="1E293B"/>
          <w:sz w:val="21"/>
        </w:rPr>
        <w:t>Renewal for the subsequent quarter (Q1 2026) shall be effected via a separate written amendment to be executed by both parties ahead of the Q1 2026 term. Absent a signed renewal amendment, this Insertion Order expires at the end of the stated Term without further obligation on either party.</w:t>
      </w:r>
    </w:p>
    <w:p>
      <w:r>
        <w:rPr>
          <w:b/>
          <w:color w:val="1E293B"/>
          <w:sz w:val="24"/>
        </w:rPr>
        <w:t>4. Rates / Terms — Media Plan Appendix</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Item</w:t>
            </w:r>
          </w:p>
        </w:tc>
        <w:tc>
          <w:tcPr>
            <w:tcW w:type="dxa" w:w="4824"/>
          </w:tcPr>
          <w:p>
            <w:r/>
            <w:r>
              <w:rPr>
                <w:b/>
                <w:sz w:val="19"/>
              </w:rPr>
              <w:t>Rate / Term</w:t>
            </w:r>
          </w:p>
        </w:tc>
      </w:tr>
      <w:tr>
        <w:tc>
          <w:tcPr>
            <w:tcW w:type="dxa" w:w="4824"/>
          </w:tcPr>
          <w:p>
            <w:r/>
            <w:r>
              <w:rPr>
                <w:sz w:val="19"/>
              </w:rPr>
              <w:t>Minimum committed spend</w:t>
            </w:r>
          </w:p>
        </w:tc>
        <w:tc>
          <w:tcPr>
            <w:tcW w:type="dxa" w:w="4824"/>
          </w:tcPr>
          <w:p>
            <w:r/>
            <w:r>
              <w:rPr>
                <w:sz w:val="19"/>
              </w:rPr>
              <w:t>$15,000/month minimum committed spend for the duration of the IO term. Buyer is contractually obligated to bill against this minimum every month.</w:t>
            </w:r>
          </w:p>
        </w:tc>
      </w:tr>
      <w:tr>
        <w:tc>
          <w:tcPr>
            <w:tcW w:type="dxa" w:w="4824"/>
          </w:tcPr>
          <w:p>
            <w:r/>
            <w:r>
              <w:rPr>
                <w:sz w:val="19"/>
              </w:rPr>
              <w:t>Placement type</w:t>
            </w:r>
          </w:p>
        </w:tc>
        <w:tc>
          <w:tcPr>
            <w:tcW w:type="dxa" w:w="4824"/>
          </w:tcPr>
          <w:p>
            <w:r/>
            <w:r>
              <w:rPr>
                <w:sz w:val="19"/>
              </w:rPr>
              <w:t>Programmatic display (managed)</w:t>
            </w:r>
          </w:p>
        </w:tc>
      </w:tr>
      <w:tr>
        <w:tc>
          <w:tcPr>
            <w:tcW w:type="dxa" w:w="4824"/>
          </w:tcPr>
          <w:p>
            <w:r/>
            <w:r>
              <w:rPr>
                <w:sz w:val="19"/>
              </w:rPr>
              <w:t>Media cost model</w:t>
            </w:r>
          </w:p>
        </w:tc>
        <w:tc>
          <w:tcPr>
            <w:tcW w:type="dxa" w:w="4824"/>
          </w:tcPr>
          <w:p>
            <w:r/>
            <w:r>
              <w:rPr>
                <w:sz w:val="19"/>
              </w:rPr>
              <w:t>Net CPM, fixed rate for the Term (no separate published rate card for this placement)</w:t>
            </w:r>
          </w:p>
        </w:tc>
      </w:tr>
      <w:tr>
        <w:tc>
          <w:tcPr>
            <w:tcW w:type="dxa" w:w="4824"/>
          </w:tcPr>
          <w:p>
            <w:r/>
            <w:r>
              <w:rPr>
                <w:sz w:val="19"/>
              </w:rPr>
              <w:t>Vendor platform / trafficking fee</w:t>
            </w:r>
          </w:p>
        </w:tc>
        <w:tc>
          <w:tcPr>
            <w:tcW w:type="dxa" w:w="4824"/>
          </w:tcPr>
          <w:p>
            <w:r/>
            <w:r>
              <w:rPr>
                <w:sz w:val="19"/>
              </w:rPr>
              <w:t>Included in net CPM</w:t>
            </w:r>
          </w:p>
        </w:tc>
      </w:tr>
      <w:tr>
        <w:tc>
          <w:tcPr>
            <w:tcW w:type="dxa" w:w="4824"/>
          </w:tcPr>
          <w:p>
            <w:r/>
            <w:r>
              <w:rPr>
                <w:sz w:val="19"/>
              </w:rPr>
              <w:t>Payment terms</w:t>
            </w:r>
          </w:p>
        </w:tc>
        <w:tc>
          <w:tcPr>
            <w:tcW w:type="dxa" w:w="4824"/>
          </w:tcPr>
          <w:p>
            <w:r/>
            <w:r>
              <w:rPr>
                <w:sz w:val="19"/>
              </w:rPr>
              <w:t>Net 30 from monthly invoice date</w:t>
            </w:r>
          </w:p>
        </w:tc>
      </w:tr>
      <w:tr>
        <w:tc>
          <w:tcPr>
            <w:tcW w:type="dxa" w:w="4824"/>
          </w:tcPr>
          <w:p>
            <w:r/>
            <w:r>
              <w:rPr>
                <w:sz w:val="19"/>
              </w:rPr>
              <w:t>Billing cadence</w:t>
            </w:r>
          </w:p>
        </w:tc>
        <w:tc>
          <w:tcPr>
            <w:tcW w:type="dxa" w:w="4824"/>
          </w:tcPr>
          <w:p>
            <w:r/>
            <w:r>
              <w:rPr>
                <w:sz w:val="19"/>
              </w:rPr>
              <w:t>Monthly, in arrears</w:t>
            </w:r>
          </w:p>
        </w:tc>
      </w:tr>
      <w:tr>
        <w:tc>
          <w:tcPr>
            <w:tcW w:type="dxa" w:w="4824"/>
          </w:tcPr>
          <w:p>
            <w:r/>
            <w:r>
              <w:rPr>
                <w:sz w:val="19"/>
              </w:rPr>
              <w:t>Reporting cadence</w:t>
            </w:r>
          </w:p>
        </w:tc>
        <w:tc>
          <w:tcPr>
            <w:tcW w:type="dxa" w:w="4824"/>
          </w:tcPr>
          <w:p>
            <w:r/>
            <w:r>
              <w:rPr>
                <w:sz w:val="19"/>
              </w:rPr>
              <w:t>Weekly pacing; monthly delivery reconciliation</w:t>
            </w:r>
          </w:p>
        </w:tc>
      </w:tr>
    </w:tbl>
    <w:p>
      <w:r>
        <w:rPr>
          <w:b/>
          <w:color w:val="1E293B"/>
          <w:sz w:val="24"/>
        </w:rPr>
        <w:t>5. Notes</w:t>
      </w:r>
    </w:p>
    <w:p>
      <w:r>
        <w:rPr>
          <w:b w:val="0"/>
          <w:i w:val="0"/>
          <w:color w:val="1E293B"/>
          <w:sz w:val="21"/>
        </w:rPr>
        <w:t>The $15,000/month figure represents a firm monthly floor, not an aspirational target. Buyer’s spend obligation accrues each calendar month of the Term regardless of actual media delivery, campaign pauses, or internal reallocation of Buyer’s broader media budget. Any monthly Buyer spend in excess of $15,000 is billed at the same rate schedule and does not reduce the following month’s minimum. Underspend against the monthly minimum in any calendar month remains billable and is invoiced by Vendor at month-end.</w:t>
      </w:r>
    </w:p>
    <w:p>
      <w:r>
        <w:rPr>
          <w:b w:val="0"/>
          <w:i w:val="0"/>
          <w:color w:val="1E293B"/>
          <w:sz w:val="21"/>
        </w:rPr>
        <w:t>The minimum committed spend survives any pause, hold, or trafficking delay initiated by Buyer during the Term.</w:t>
      </w:r>
    </w:p>
    <w:p>
      <w:r>
        <w:rPr>
          <w:b w:val="0"/>
          <w:i w:val="0"/>
          <w:color w:val="1E293B"/>
          <w:sz w:val="21"/>
        </w:rPr>
        <w:t>Renewal terms, including any adjustment to the monthly minimum, shall be negotiated in a separate written renewal amendment between the parties ahead of the Q1 2026 term. This document does not create any renewal option, right of first refusal, or automatic extension.</w:t>
      </w:r>
    </w:p>
    <w:tbl>
      <w:tblPr>
        <w:tblStyle w:val="TableGrid"/>
        <w:tblW w:type="auto" w:w="0"/>
        <w:tblLook w:firstColumn="1" w:firstRow="1" w:lastColumn="0" w:lastRow="0" w:noHBand="0" w:noVBand="1" w:val="04A0"/>
      </w:tblPr>
      <w:tblGrid>
        <w:gridCol w:w="4824"/>
        <w:gridCol w:w="4824"/>
      </w:tblGrid>
      <w:tr>
        <w:tc>
          <w:tcPr>
            <w:tcW w:type="dxa" w:w="4824"/>
          </w:tcPr>
          <w:p>
            <w:r/>
            <w:r>
              <w:rPr>
                <w:b/>
                <w:sz w:val="19"/>
              </w:rPr>
              <w:t>Approved by (Buyer)</w:t>
            </w:r>
          </w:p>
        </w:tc>
        <w:tc>
          <w:tcPr>
            <w:tcW w:type="dxa" w:w="4824"/>
          </w:tcPr>
          <w:p>
            <w:r/>
            <w:r>
              <w:rPr>
                <w:b/>
                <w:sz w:val="19"/>
              </w:rPr>
              <w:t>Accepted by (Vendor)</w:t>
            </w:r>
          </w:p>
        </w:tc>
      </w:tr>
      <w:tr>
        <w:tc>
          <w:tcPr>
            <w:tcW w:type="dxa" w:w="4824"/>
          </w:tcPr>
          <w:p>
            <w:r/>
            <w:r>
              <w:rPr>
                <w:sz w:val="19"/>
              </w:rPr>
              <w:t>Ted Kowalczyk, VP, Paid Media</w:t>
              <w:br/>
              <w:t>Thornfield Life Sciences Marketing, Inc.</w:t>
              <w:br/>
              <w:t>Signature: /s/ Ted Kowalczyk</w:t>
              <w:br/>
              <w:t>Date: 09/28/2025</w:t>
            </w:r>
          </w:p>
        </w:tc>
        <w:tc>
          <w:tcPr>
            <w:tcW w:type="dxa" w:w="4824"/>
          </w:tcPr>
          <w:p>
            <w:r/>
            <w:r>
              <w:rPr>
                <w:sz w:val="19"/>
              </w:rPr>
              <w:t>Derek Solano, Sr. Account Manager</w:t>
              <w:br/>
              <w:t>MedTech AdNetwork</w:t>
              <w:br/>
              <w:t>Signature: /s/ Derek Solano</w:t>
              <w:br/>
              <w:t>Date: 09/30/2025</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