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Segoe UI" w:hAnsi="Segoe UI"/>
          <w:b/>
          <w:i w:val="0"/>
          <w:color w:val="0284C7"/>
          <w:sz w:val="19"/>
        </w:rPr>
        <w:t>THORNFIELD LIFE SCIENCES MARKETING — BOARD OF DIRECTORS</w:t>
      </w:r>
    </w:p>
    <w:p>
      <w:pPr>
        <w:spacing w:before="80" w:after="80" w:line="276" w:lineRule="auto"/>
      </w:pPr>
      <w:r>
        <w:rPr>
          <w:rFonts w:ascii="Segoe UI" w:hAnsi="Segoe UI"/>
          <w:b/>
          <w:i w:val="0"/>
          <w:color w:val="0F172A"/>
          <w:sz w:val="48"/>
        </w:rPr>
        <w:t>Meeting Minutes — Q3 2025 Interim Update</w:t>
      </w:r>
    </w:p>
    <w:p>
      <w:pPr>
        <w:spacing w:before="40" w:after="320" w:line="276" w:lineRule="auto"/>
      </w:pPr>
      <w:r>
        <w:rPr>
          <w:rFonts w:ascii="Segoe UI" w:hAnsi="Segoe UI"/>
          <w:b w:val="0"/>
          <w:i/>
          <w:color w:val="64748B"/>
          <w:sz w:val="22"/>
        </w:rPr>
        <w:t>Board of Directors — Interim Update ahead of the 01/20/2026 QBR</w:t>
      </w:r>
    </w:p>
    <w:tbl>
      <w:tblPr>
        <w:tblW w:type="auto" w:w="0"/>
        <w:tblLayout w:type="fixed"/>
        <w:tblLook w:firstColumn="1" w:firstRow="1" w:lastColumn="0" w:lastRow="0" w:noHBand="0" w:noVBand="1" w:val="04A0"/>
        <w:tblBorders>
          <w:top w:val="single" w:sz="12" w:space="0" w:color="CBD5E1"/>
          <w:bottom w:val="single" w:sz="12" w:space="0" w:color="CBD5E1"/>
          <w:insideH w:val="single" w:sz="4" w:space="0" w:color="E2E8F0"/>
          <w:insideV w:val="none"/>
          <w:left w:val="none"/>
          <w:right w:val="none"/>
        </w:tblBorders>
      </w:tblPr>
      <w:tblGrid>
        <w:gridCol w:w="2304"/>
        <w:gridCol w:w="7056"/>
      </w:tblGrid>
      <w:tr>
        <w:tc>
          <w:tcPr>
            <w:tcW w:type="dxa" w:w="2304"/>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Borders>
              <w:left w:val="single" w:sz="24" w:space="0" w:color="0284C7"/>
            </w:tcBorders>
          </w:tcPr>
          <w:p>
            <w:pPr>
              <w:spacing w:before="0" w:after="0" w:line="276" w:lineRule="auto"/>
            </w:pPr>
            <w:r>
              <w:rPr>
                <w:rFonts w:ascii="Segoe UI" w:hAnsi="Segoe UI"/>
                <w:b/>
                <w:color w:val="0F172A"/>
                <w:sz w:val="20"/>
              </w:rPr>
            </w:r>
            <w:r>
              <w:rPr>
                <w:rFonts w:ascii="Segoe UI" w:hAnsi="Segoe UI"/>
                <w:b/>
                <w:color w:val="0F172A"/>
                <w:sz w:val="20"/>
              </w:rPr>
              <w:t>Date:</w:t>
            </w:r>
          </w:p>
        </w:tc>
        <w:tc>
          <w:tcPr>
            <w:tcW w:type="dxa" w:w="7056"/>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Pr>
          <w:p>
            <w:pPr>
              <w:spacing w:before="0" w:after="0" w:line="276" w:lineRule="auto"/>
            </w:pPr>
            <w:r>
              <w:rPr>
                <w:rFonts w:ascii="Segoe UI" w:hAnsi="Segoe UI"/>
                <w:b w:val="0"/>
                <w:color w:val="334155"/>
                <w:sz w:val="20"/>
              </w:rPr>
            </w:r>
            <w:r>
              <w:rPr>
                <w:rFonts w:ascii="Segoe UI" w:hAnsi="Segoe UI"/>
                <w:b w:val="0"/>
                <w:color w:val="334155"/>
                <w:sz w:val="20"/>
              </w:rPr>
              <w:t>10/22/2025</w:t>
            </w:r>
          </w:p>
        </w:tc>
      </w:tr>
      <w:tr>
        <w:tc>
          <w:tcPr>
            <w:tcW w:type="dxa" w:w="2304"/>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Borders>
              <w:left w:val="single" w:sz="24" w:space="0" w:color="0284C7"/>
            </w:tcBorders>
          </w:tcPr>
          <w:p>
            <w:pPr>
              <w:spacing w:before="0" w:after="0" w:line="276" w:lineRule="auto"/>
            </w:pPr>
            <w:r>
              <w:rPr>
                <w:rFonts w:ascii="Segoe UI" w:hAnsi="Segoe UI"/>
                <w:b/>
                <w:color w:val="0F172A"/>
                <w:sz w:val="20"/>
              </w:rPr>
            </w:r>
            <w:r>
              <w:rPr>
                <w:rFonts w:ascii="Segoe UI" w:hAnsi="Segoe UI"/>
                <w:b/>
                <w:color w:val="0F172A"/>
                <w:sz w:val="20"/>
              </w:rPr>
              <w:t>Location:</w:t>
            </w:r>
          </w:p>
        </w:tc>
        <w:tc>
          <w:tcPr>
            <w:tcW w:type="dxa" w:w="7056"/>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Pr>
          <w:p>
            <w:pPr>
              <w:spacing w:before="0" w:after="0" w:line="276" w:lineRule="auto"/>
            </w:pPr>
            <w:r>
              <w:rPr>
                <w:rFonts w:ascii="Segoe UI" w:hAnsi="Segoe UI"/>
                <w:b w:val="0"/>
                <w:color w:val="334155"/>
                <w:sz w:val="20"/>
              </w:rPr>
            </w:r>
            <w:r>
              <w:rPr>
                <w:rFonts w:ascii="Segoe UI" w:hAnsi="Segoe UI"/>
                <w:b w:val="0"/>
                <w:color w:val="334155"/>
                <w:sz w:val="20"/>
              </w:rPr>
              <w:t>Virtual (Zoom)</w:t>
            </w:r>
          </w:p>
        </w:tc>
      </w:tr>
      <w:tr>
        <w:tc>
          <w:tcPr>
            <w:tcW w:type="dxa" w:w="2304"/>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Borders>
              <w:left w:val="single" w:sz="24" w:space="0" w:color="0284C7"/>
            </w:tcBorders>
          </w:tcPr>
          <w:p>
            <w:pPr>
              <w:spacing w:before="0" w:after="0" w:line="276" w:lineRule="auto"/>
            </w:pPr>
            <w:r>
              <w:rPr>
                <w:rFonts w:ascii="Segoe UI" w:hAnsi="Segoe UI"/>
                <w:b/>
                <w:color w:val="0F172A"/>
                <w:sz w:val="20"/>
              </w:rPr>
            </w:r>
            <w:r>
              <w:rPr>
                <w:rFonts w:ascii="Segoe UI" w:hAnsi="Segoe UI"/>
                <w:b/>
                <w:color w:val="0F172A"/>
                <w:sz w:val="20"/>
              </w:rPr>
              <w:t>Called to order:</w:t>
            </w:r>
          </w:p>
        </w:tc>
        <w:tc>
          <w:tcPr>
            <w:tcW w:type="dxa" w:w="7056"/>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Pr>
          <w:p>
            <w:pPr>
              <w:spacing w:before="0" w:after="0" w:line="276" w:lineRule="auto"/>
            </w:pPr>
            <w:r>
              <w:rPr>
                <w:rFonts w:ascii="Segoe UI" w:hAnsi="Segoe UI"/>
                <w:b w:val="0"/>
                <w:color w:val="334155"/>
                <w:sz w:val="20"/>
              </w:rPr>
            </w:r>
            <w:r>
              <w:rPr>
                <w:rFonts w:ascii="Segoe UI" w:hAnsi="Segoe UI"/>
                <w:b w:val="0"/>
                <w:color w:val="334155"/>
                <w:sz w:val="20"/>
              </w:rPr>
              <w:t>9:03 AM ET</w:t>
            </w:r>
          </w:p>
        </w:tc>
      </w:tr>
      <w:tr>
        <w:tc>
          <w:tcPr>
            <w:tcW w:type="dxa" w:w="2304"/>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Borders>
              <w:left w:val="single" w:sz="24" w:space="0" w:color="0284C7"/>
            </w:tcBorders>
          </w:tcPr>
          <w:p>
            <w:pPr>
              <w:spacing w:before="0" w:after="0" w:line="276" w:lineRule="auto"/>
            </w:pPr>
            <w:r>
              <w:rPr>
                <w:rFonts w:ascii="Segoe UI" w:hAnsi="Segoe UI"/>
                <w:b/>
                <w:color w:val="0F172A"/>
                <w:sz w:val="20"/>
              </w:rPr>
            </w:r>
            <w:r>
              <w:rPr>
                <w:rFonts w:ascii="Segoe UI" w:hAnsi="Segoe UI"/>
                <w:b/>
                <w:color w:val="0F172A"/>
                <w:sz w:val="20"/>
              </w:rPr>
              <w:t>Adjourned:</w:t>
            </w:r>
          </w:p>
        </w:tc>
        <w:tc>
          <w:tcPr>
            <w:tcW w:type="dxa" w:w="7056"/>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Pr>
          <w:p>
            <w:pPr>
              <w:spacing w:before="0" w:after="0" w:line="276" w:lineRule="auto"/>
            </w:pPr>
            <w:r>
              <w:rPr>
                <w:rFonts w:ascii="Segoe UI" w:hAnsi="Segoe UI"/>
                <w:b w:val="0"/>
                <w:color w:val="334155"/>
                <w:sz w:val="20"/>
              </w:rPr>
            </w:r>
            <w:r>
              <w:rPr>
                <w:rFonts w:ascii="Segoe UI" w:hAnsi="Segoe UI"/>
                <w:b w:val="0"/>
                <w:color w:val="334155"/>
                <w:sz w:val="20"/>
              </w:rPr>
              <w:t>10:41 AM ET</w:t>
            </w:r>
          </w:p>
        </w:tc>
      </w:tr>
      <w:tr>
        <w:tc>
          <w:tcPr>
            <w:tcW w:type="dxa" w:w="2304"/>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Borders>
              <w:left w:val="single" w:sz="24" w:space="0" w:color="0284C7"/>
            </w:tcBorders>
          </w:tcPr>
          <w:p>
            <w:pPr>
              <w:spacing w:before="0" w:after="0" w:line="276" w:lineRule="auto"/>
            </w:pPr>
            <w:r>
              <w:rPr>
                <w:rFonts w:ascii="Segoe UI" w:hAnsi="Segoe UI"/>
                <w:b/>
                <w:color w:val="0F172A"/>
                <w:sz w:val="20"/>
              </w:rPr>
            </w:r>
            <w:r>
              <w:rPr>
                <w:rFonts w:ascii="Segoe UI" w:hAnsi="Segoe UI"/>
                <w:b/>
                <w:color w:val="0F172A"/>
                <w:sz w:val="20"/>
              </w:rPr>
              <w:t>Recorded by:</w:t>
            </w:r>
          </w:p>
        </w:tc>
        <w:tc>
          <w:tcPr>
            <w:tcW w:type="dxa" w:w="7056"/>
            <w:tcBorders>
              <w:top w:val="single" w:sz="4" w:color="BFBFBF"/>
              <w:left w:val="single" w:sz="4" w:color="BFBFBF"/>
              <w:bottom w:val="single" w:sz="4" w:color="BFBFBF"/>
              <w:right w:val="single" w:sz="4" w:color="BFBFBF"/>
            </w:tcBorders>
            <w:shd w:fill="F8FAFC"/>
            <w:tcMar>
              <w:top w:w="120" w:type="dxa"/>
              <w:bottom w:w="120" w:type="dxa"/>
              <w:left w:w="200" w:type="dxa"/>
              <w:right w:w="200" w:type="dxa"/>
            </w:tcMar>
          </w:tcPr>
          <w:p>
            <w:pPr>
              <w:spacing w:before="0" w:after="0" w:line="276" w:lineRule="auto"/>
            </w:pPr>
            <w:r>
              <w:rPr>
                <w:rFonts w:ascii="Segoe UI" w:hAnsi="Segoe UI"/>
                <w:b w:val="0"/>
                <w:color w:val="334155"/>
                <w:sz w:val="20"/>
              </w:rPr>
            </w:r>
            <w:r>
              <w:rPr>
                <w:rFonts w:ascii="Segoe UI" w:hAnsi="Segoe UI"/>
                <w:b w:val="0"/>
                <w:color w:val="334155"/>
                <w:sz w:val="20"/>
              </w:rPr>
              <w:t>Elena Marchetti, Board Chair</w:t>
            </w:r>
          </w:p>
        </w:tc>
      </w:tr>
    </w:tbl>
    <w:p>
      <w:pPr>
        <w:spacing w:before="0" w:after="0" w:line="276" w:lineRule="auto"/>
      </w:pPr>
      <w:r>
        <w:rPr>
          <w:rFonts w:ascii="Segoe UI" w:hAnsi="Segoe UI"/>
          <w:b w:val="0"/>
          <w:i w:val="0"/>
          <w:color w:val="000000"/>
          <w:sz w:val="4"/>
        </w:rPr>
      </w:r>
    </w:p>
    <w:p>
      <w:pPr>
        <w:keepNext/>
        <w:spacing w:before="360" w:after="160" w:line="276" w:lineRule="auto"/>
        <w:pBdr>
          <w:bottom w:val="single" w:sz="12" w:space="6" w:color="0284C7"/>
        </w:pBdr>
      </w:pPr>
      <w:r>
        <w:rPr>
          <w:rFonts w:ascii="Segoe UI" w:hAnsi="Segoe UI"/>
          <w:b/>
          <w:i w:val="0"/>
          <w:color w:val="0F172A"/>
          <w:sz w:val="28"/>
        </w:rPr>
        <w:t>Attendees</w:t>
      </w:r>
    </w:p>
    <w:p>
      <w:pPr>
        <w:keepNext/>
        <w:spacing w:before="160" w:after="80" w:line="276" w:lineRule="auto"/>
      </w:pPr>
      <w:r>
        <w:rPr>
          <w:rFonts w:ascii="Segoe UI" w:hAnsi="Segoe UI"/>
          <w:b/>
          <w:i w:val="0"/>
          <w:color w:val="0F172A"/>
          <w:sz w:val="21"/>
        </w:rPr>
        <w:t>Board of Directors (all present, quorum established):</w:t>
      </w:r>
    </w:p>
    <w:p>
      <w:pPr>
        <w:spacing w:before="40" w:after="60" w:line="276" w:lineRule="auto"/>
        <w:ind w:left="360" w:hanging="288"/>
      </w:pPr>
      <w:r>
        <w:rPr>
          <w:rFonts w:ascii="Segoe UI" w:hAnsi="Segoe UI"/>
          <w:b/>
          <w:color w:val="0284C7"/>
          <w:sz w:val="20"/>
        </w:rPr>
        <w:t xml:space="preserve">•  </w:t>
      </w:r>
      <w:r>
        <w:rPr>
          <w:rFonts w:ascii="Segoe UI" w:hAnsi="Segoe UI"/>
          <w:b w:val="0"/>
          <w:color w:val="334155"/>
          <w:sz w:val="20"/>
        </w:rPr>
        <w:t>Dana Whitfield — Chief Executive Officer / Management Director</w:t>
      </w:r>
    </w:p>
    <w:p>
      <w:pPr>
        <w:spacing w:before="40" w:after="60" w:line="276" w:lineRule="auto"/>
        <w:ind w:left="360" w:hanging="288"/>
      </w:pPr>
      <w:r>
        <w:rPr>
          <w:rFonts w:ascii="Segoe UI" w:hAnsi="Segoe UI"/>
          <w:b/>
          <w:color w:val="0284C7"/>
          <w:sz w:val="20"/>
        </w:rPr>
        <w:t xml:space="preserve">•  </w:t>
      </w:r>
      <w:r>
        <w:rPr>
          <w:rFonts w:ascii="Segoe UI" w:hAnsi="Segoe UI"/>
          <w:b w:val="0"/>
          <w:color w:val="334155"/>
          <w:sz w:val="20"/>
        </w:rPr>
        <w:t>Harold Beauchamp — Lead Independent Director</w:t>
      </w:r>
    </w:p>
    <w:p>
      <w:pPr>
        <w:spacing w:before="40" w:after="60" w:line="276" w:lineRule="auto"/>
        <w:ind w:left="360" w:hanging="288"/>
      </w:pPr>
      <w:r>
        <w:rPr>
          <w:rFonts w:ascii="Segoe UI" w:hAnsi="Segoe UI"/>
          <w:b/>
          <w:color w:val="0284C7"/>
          <w:sz w:val="20"/>
        </w:rPr>
        <w:t xml:space="preserve">•  </w:t>
      </w:r>
      <w:r>
        <w:rPr>
          <w:rFonts w:ascii="Segoe UI" w:hAnsi="Segoe UI"/>
          <w:b w:val="0"/>
          <w:color w:val="334155"/>
          <w:sz w:val="20"/>
        </w:rPr>
        <w:t>Elena Marchetti — Board Chair (independent)</w:t>
      </w:r>
    </w:p>
    <w:p>
      <w:pPr>
        <w:spacing w:before="40" w:after="60" w:line="276" w:lineRule="auto"/>
        <w:ind w:left="360" w:hanging="288"/>
      </w:pPr>
      <w:r>
        <w:rPr>
          <w:rFonts w:ascii="Segoe UI" w:hAnsi="Segoe UI"/>
          <w:b/>
          <w:color w:val="0284C7"/>
          <w:sz w:val="20"/>
        </w:rPr>
        <w:t xml:space="preserve">•  </w:t>
      </w:r>
      <w:r>
        <w:rPr>
          <w:rFonts w:ascii="Segoe UI" w:hAnsi="Segoe UI"/>
          <w:b w:val="0"/>
          <w:color w:val="334155"/>
          <w:sz w:val="20"/>
        </w:rPr>
        <w:t>Dr. Anaya Krishnamurthy — Independent Director</w:t>
      </w:r>
    </w:p>
    <w:p>
      <w:pPr>
        <w:spacing w:before="40" w:after="60" w:line="276" w:lineRule="auto"/>
        <w:ind w:left="360" w:hanging="288"/>
      </w:pPr>
      <w:r>
        <w:rPr>
          <w:rFonts w:ascii="Segoe UI" w:hAnsi="Segoe UI"/>
          <w:b/>
          <w:color w:val="0284C7"/>
          <w:sz w:val="20"/>
        </w:rPr>
        <w:t xml:space="preserve">•  </w:t>
      </w:r>
      <w:r>
        <w:rPr>
          <w:rFonts w:ascii="Segoe UI" w:hAnsi="Segoe UI"/>
          <w:b w:val="0"/>
          <w:color w:val="334155"/>
          <w:sz w:val="20"/>
        </w:rPr>
        <w:t>Robert Whittaker — Independent Director</w:t>
      </w:r>
    </w:p>
    <w:p>
      <w:pPr>
        <w:keepNext/>
        <w:spacing w:before="200" w:after="80" w:line="276" w:lineRule="auto"/>
      </w:pPr>
      <w:r>
        <w:rPr>
          <w:rFonts w:ascii="Segoe UI" w:hAnsi="Segoe UI"/>
          <w:b/>
          <w:i w:val="0"/>
          <w:color w:val="0F172A"/>
          <w:sz w:val="21"/>
        </w:rPr>
        <w:t>Management present (by invitation):</w:t>
      </w:r>
    </w:p>
    <w:p>
      <w:pPr>
        <w:spacing w:before="40" w:after="60" w:line="276" w:lineRule="auto"/>
        <w:ind w:left="360" w:hanging="288"/>
      </w:pPr>
      <w:r>
        <w:rPr>
          <w:rFonts w:ascii="Segoe UI" w:hAnsi="Segoe UI"/>
          <w:b/>
          <w:color w:val="0284C7"/>
          <w:sz w:val="20"/>
        </w:rPr>
        <w:t xml:space="preserve">•  </w:t>
      </w:r>
      <w:r>
        <w:rPr>
          <w:rFonts w:ascii="Segoe UI" w:hAnsi="Segoe UI"/>
          <w:b w:val="0"/>
          <w:color w:val="334155"/>
          <w:sz w:val="20"/>
        </w:rPr>
        <w:t>Alan Rutherford — Finance Director</w:t>
      </w:r>
    </w:p>
    <w:p>
      <w:pPr>
        <w:spacing w:before="40" w:after="60" w:line="276" w:lineRule="auto"/>
        <w:ind w:left="360" w:hanging="288"/>
      </w:pPr>
      <w:r>
        <w:rPr>
          <w:rFonts w:ascii="Segoe UI" w:hAnsi="Segoe UI"/>
          <w:b/>
          <w:color w:val="0284C7"/>
          <w:sz w:val="20"/>
        </w:rPr>
        <w:t xml:space="preserve">•  </w:t>
      </w:r>
      <w:r>
        <w:rPr>
          <w:rFonts w:ascii="Segoe UI" w:hAnsi="Segoe UI"/>
          <w:b w:val="0"/>
          <w:color w:val="334155"/>
          <w:sz w:val="20"/>
        </w:rPr>
        <w:t>Priya Ramaswamy — Marketing Operations Lead</w:t>
      </w:r>
    </w:p>
    <w:p>
      <w:pPr>
        <w:spacing w:before="160" w:after="360" w:line="276" w:lineRule="auto"/>
      </w:pPr>
      <w:r>
        <w:rPr>
          <w:rFonts w:ascii="Segoe UI" w:hAnsi="Segoe UI"/>
          <w:b w:val="0"/>
          <w:i w:val="0"/>
          <w:color w:val="334155"/>
          <w:sz w:val="20"/>
        </w:rPr>
        <w:t>Management was invited to present the Q3 interim update and to receive the Board's guidance on the reporting standards that will govern the 01/20/2026 QBR. Both remained on the call through Section 3 and were released before the Board's closed executive session (not recorded here).</w:t>
      </w:r>
    </w:p>
    <w:p>
      <w:pPr>
        <w:keepNext/>
        <w:spacing w:before="440" w:after="160" w:line="276" w:lineRule="auto"/>
        <w:pBdr>
          <w:bottom w:val="single" w:sz="16" w:space="6" w:color="0284C7"/>
        </w:pBdr>
      </w:pPr>
      <w:r>
        <w:rPr>
          <w:rFonts w:ascii="Segoe UI" w:hAnsi="Segoe UI"/>
          <w:b/>
          <w:i w:val="0"/>
          <w:color w:val="0F172A"/>
          <w:sz w:val="29"/>
        </w:rPr>
        <w:t>1. Q3 Update — Acquisition Close and Integration Status</w:t>
      </w:r>
    </w:p>
    <w:p>
      <w:pPr>
        <w:spacing w:before="0" w:after="160" w:line="276" w:lineRule="auto"/>
      </w:pPr>
      <w:r>
        <w:rPr>
          <w:rFonts w:ascii="Segoe UI" w:hAnsi="Segoe UI"/>
          <w:b w:val="0"/>
          <w:i w:val="0"/>
          <w:color w:val="334155"/>
          <w:sz w:val="20"/>
        </w:rPr>
        <w:t>Ms. Whitfield opened with a summary of the 09/01/2025 close of the Bramwell Scientific Marketing acquisition. Bramwell is now a wholly-owned operating brand of Thornfield. Ms. Ramaswamy walked the Board through the integration status:</w:t>
      </w:r>
    </w:p>
    <w:p>
      <w:pPr>
        <w:spacing w:before="60" w:after="100" w:line="276" w:lineRule="auto"/>
        <w:ind w:left="360" w:hanging="288"/>
      </w:pPr>
      <w:r>
        <w:rPr>
          <w:rFonts w:ascii="Segoe UI" w:hAnsi="Segoe UI"/>
          <w:color w:val="334155"/>
          <w:sz w:val="20"/>
        </w:rPr>
        <w:t>•  ERPNext cutover. Bramwell's CRM, Customer master, and open Sales Order records were migrated into Thornfield's self-hosted ERPNext instance (erp.thornfieldlsm.com) on 08/25/2025, six days ahead of close. Two custom Customer fields — account_origin ("Thornfield native" or "Inherited — Bramwell") and regulated_client — were added to preserve the provenance of every migrated record. Ms. Ramaswamy confirmed that no legacy Bramwell instance remains in production.</w:t>
      </w:r>
      <w:r>
        <w:rPr>
          <w:rFonts w:ascii="Segoe UI" w:hAnsi="Segoe UI"/>
          <w:b/>
          <w:color w:val="334155"/>
          <w:sz w:val="20"/>
        </w:rPr>
      </w:r>
      <w:r>
        <w:rPr>
          <w:rFonts w:ascii="Segoe UI" w:hAnsi="Segoe UI"/>
          <w:b w:val="0"/>
          <w:color w:val="334155"/>
          <w:sz w:val="20"/>
        </w:rPr>
      </w:r>
    </w:p>
    <w:p>
      <w:pPr>
        <w:spacing w:before="60" w:after="100" w:line="276" w:lineRule="auto"/>
        <w:ind w:left="360" w:hanging="288"/>
      </w:pPr>
      <w:r>
        <w:rPr>
          <w:rFonts w:ascii="Segoe UI" w:hAnsi="Segoe UI"/>
          <w:color w:val="334155"/>
          <w:sz w:val="20"/>
        </w:rPr>
        <w:t xml:space="preserve">•  </w:t>
      </w:r>
      <w:r>
        <w:rPr>
          <w:rFonts w:ascii="Segoe UI" w:hAnsi="Segoe UI"/>
          <w:b/>
          <w:color w:val="334155"/>
          <w:sz w:val="20"/>
        </w:rPr>
        <w:t xml:space="preserve">Headcount and footprint. </w:t>
      </w:r>
      <w:r>
        <w:rPr>
          <w:rFonts w:ascii="Segoe UI" w:hAnsi="Segoe UI"/>
          <w:b w:val="0"/>
          <w:color w:val="334155"/>
          <w:sz w:val="20"/>
        </w:rPr>
        <w:t>Post-close headcount stands at 87 (54 Thornfield + 33 Bramwell). No reductions have been made; the former Cambridge office is retained as a satellite. Marcus Oyelaran, Bramwell's founder, has stepped into an Integration Advisor role and is the single point of continuity for legacy Bramwell client relationships and legacy MSA terms.</w:t>
      </w:r>
    </w:p>
    <w:p>
      <w:pPr>
        <w:spacing w:before="60" w:after="100" w:line="276" w:lineRule="auto"/>
        <w:ind w:left="360" w:hanging="288"/>
      </w:pPr>
      <w:r>
        <w:rPr>
          <w:rFonts w:ascii="Segoe UI" w:hAnsi="Segoe UI"/>
          <w:color w:val="334155"/>
          <w:sz w:val="20"/>
        </w:rPr>
        <w:t>•  Policy stack. The integration policy documents — covering rebate and reserve rules, financial reporting methodology, and compliance claims review — are the surviving Thornfield standards. Certain Bramwell legacy Sales Orders and rate terms remain in force until their own expiry dates; Ms. Ramaswamy noted that this will produce a small number of hybrid billing situations through Q1 2026 that Marketing Operations is tracking.</w:t>
      </w:r>
      <w:r>
        <w:rPr>
          <w:rFonts w:ascii="Segoe UI" w:hAnsi="Segoe UI"/>
          <w:b/>
          <w:color w:val="334155"/>
          <w:sz w:val="20"/>
        </w:rPr>
      </w:r>
      <w:r>
        <w:rPr>
          <w:rFonts w:ascii="Segoe UI" w:hAnsi="Segoe UI"/>
          <w:b w:val="0"/>
          <w:color w:val="334155"/>
          <w:sz w:val="20"/>
        </w:rPr>
      </w:r>
    </w:p>
    <w:p>
      <w:pPr>
        <w:spacing w:before="60" w:after="100" w:line="276" w:lineRule="auto"/>
        <w:ind w:left="360" w:hanging="288"/>
      </w:pPr>
      <w:r>
        <w:rPr>
          <w:rFonts w:ascii="Segoe UI" w:hAnsi="Segoe UI"/>
          <w:color w:val="334155"/>
          <w:sz w:val="20"/>
        </w:rPr>
        <w:t xml:space="preserve">•  </w:t>
      </w:r>
      <w:r>
        <w:rPr>
          <w:rFonts w:ascii="Segoe UI" w:hAnsi="Segoe UI"/>
          <w:b/>
          <w:color w:val="334155"/>
          <w:sz w:val="20"/>
        </w:rPr>
        <w:t xml:space="preserve">Client retention. </w:t>
      </w:r>
      <w:r>
        <w:rPr>
          <w:rFonts w:ascii="Segoe UI" w:hAnsi="Segoe UI"/>
          <w:b w:val="0"/>
          <w:color w:val="334155"/>
          <w:sz w:val="20"/>
        </w:rPr>
        <w:t>No inherited-account attrition through the reporting date. Q3 managed spend across the combined client base tracks to plan; Q4 is the first full post-close operating quarter.</w:t>
      </w:r>
    </w:p>
    <w:p>
      <w:pPr>
        <w:spacing w:before="160" w:after="320" w:line="276" w:lineRule="auto"/>
      </w:pPr>
      <w:r>
        <w:rPr>
          <w:rFonts w:ascii="Segoe UI" w:hAnsi="Segoe UI"/>
          <w:b w:val="0"/>
          <w:i w:val="0"/>
          <w:color w:val="334155"/>
          <w:sz w:val="20"/>
        </w:rPr>
        <w:t>Mr. Beauchamp asked whether integration had produced any surprises in the underlying financial or CRM data. Mr. Rutherford answered that the migration itself was clean and that the reconciliation work ahead of the QBR is a reporting discipline exercise, not a data-quality remediation.</w:t>
      </w:r>
    </w:p>
    <w:p>
      <w:pPr>
        <w:keepNext/>
        <w:spacing w:before="440" w:after="160" w:line="276" w:lineRule="auto"/>
        <w:pBdr>
          <w:bottom w:val="single" w:sz="16" w:space="6" w:color="0284C7"/>
        </w:pBdr>
      </w:pPr>
      <w:r>
        <w:rPr>
          <w:rFonts w:ascii="Segoe UI" w:hAnsi="Segoe UI"/>
          <w:b/>
          <w:i w:val="0"/>
          <w:color w:val="0F172A"/>
          <w:sz w:val="29"/>
        </w:rPr>
        <w:t>2. Board Expectations for the 01/20/2026 QBR</w:t>
      </w:r>
    </w:p>
    <w:p>
      <w:pPr>
        <w:spacing w:before="0" w:after="160" w:line="276" w:lineRule="auto"/>
      </w:pPr>
      <w:r>
        <w:rPr>
          <w:rFonts w:ascii="Segoe UI" w:hAnsi="Segoe UI"/>
          <w:b w:val="0"/>
          <w:i w:val="0"/>
          <w:color w:val="334155"/>
          <w:sz w:val="20"/>
        </w:rPr>
        <w:t>The Board discussed at length its expectations for the first post-close Quarterly Business Review, scheduled for 01/20/2026. Ms. Marchetti summarized the Board's position and asked that it be recorded verbatim in these minutes:</w:t>
      </w:r>
    </w:p>
    <w:p>
      <w:pPr>
        <w:spacing w:before="200" w:after="240" w:line="276" w:lineRule="auto"/>
        <w:ind w:left="400" w:right="400"/>
        <w:shd w:fill="F1F5F9"/>
        <w:pBdr>
          <w:left w:val="single" w:sz="36" w:space="12" w:color="0284C7"/>
        </w:pBdr>
      </w:pPr>
      <w:r>
        <w:rPr>
          <w:rFonts w:ascii="Segoe UI" w:hAnsi="Segoe UI"/>
          <w:i/>
          <w:color w:val="0F172A"/>
          <w:sz w:val="20"/>
        </w:rPr>
        <w:t>Board members reiterated the expectation that the first post-close QBR will present a single reconciled FY2025 revenue figure prepared under Finance's reporting methodology.</w:t>
      </w:r>
    </w:p>
    <w:p>
      <w:pPr>
        <w:keepNext/>
        <w:spacing w:before="200" w:after="120" w:line="276" w:lineRule="auto"/>
      </w:pPr>
      <w:r>
        <w:rPr>
          <w:rFonts w:ascii="Segoe UI" w:hAnsi="Segoe UI"/>
          <w:b/>
          <w:i w:val="0"/>
          <w:color w:val="0F172A"/>
          <w:sz w:val="20"/>
        </w:rPr>
        <w:t>Discussion points supporting this position:</w:t>
      </w:r>
    </w:p>
    <w:p>
      <w:pPr>
        <w:spacing w:before="60" w:after="100" w:line="276" w:lineRule="auto"/>
        <w:ind w:left="360" w:hanging="288"/>
      </w:pPr>
      <w:r>
        <w:rPr>
          <w:rFonts w:ascii="Segoe UI" w:hAnsi="Segoe UI"/>
          <w:color w:val="334155"/>
          <w:sz w:val="20"/>
        </w:rPr>
        <w:t xml:space="preserve">•  </w:t>
      </w:r>
      <w:r>
        <w:rPr>
          <w:rFonts w:ascii="Segoe UI" w:hAnsi="Segoe UI"/>
          <w:b/>
          <w:color w:val="334155"/>
          <w:sz w:val="20"/>
        </w:rPr>
        <w:t xml:space="preserve">One clean figure, one methodology. </w:t>
      </w:r>
      <w:r>
        <w:rPr>
          <w:rFonts w:ascii="Segoe UI" w:hAnsi="Segoe UI"/>
          <w:b w:val="0"/>
          <w:color w:val="334155"/>
          <w:sz w:val="20"/>
        </w:rPr>
        <w:t>Dr. Krishnamurthy and Mr. Whittaker both stressed that the Board does not want to see a Thornfield P&amp;L presented next to a Bramwell P&amp;L with the reader left to add them. The QBR narrative should present a single reconciled revenue figure prepared under Thornfield's methodology, with any prior-period comparability treatment shown as a footnote — not as a competing line.</w:t>
      </w:r>
    </w:p>
    <w:p>
      <w:pPr>
        <w:spacing w:before="60" w:after="100" w:line="276" w:lineRule="auto"/>
        <w:ind w:left="360" w:hanging="288"/>
      </w:pPr>
      <w:r>
        <w:rPr>
          <w:rFonts w:ascii="Segoe UI" w:hAnsi="Segoe UI"/>
          <w:color w:val="334155"/>
          <w:sz w:val="20"/>
        </w:rPr>
        <w:t>•  Reconciled revenue only. Mr. Beauchamp, drawing on his prior CFO experience, reminded management that the QBR figure should be prepared under the FY2025 reporting methodology established by Finance.</w:t>
      </w:r>
      <w:r>
        <w:rPr>
          <w:rFonts w:ascii="Segoe UI" w:hAnsi="Segoe UI"/>
          <w:b/>
          <w:color w:val="334155"/>
          <w:sz w:val="20"/>
        </w:rPr>
      </w:r>
      <w:r>
        <w:rPr>
          <w:rFonts w:ascii="Segoe UI" w:hAnsi="Segoe UI"/>
          <w:b w:val="0"/>
          <w:color w:val="334155"/>
          <w:sz w:val="20"/>
        </w:rPr>
      </w:r>
    </w:p>
    <w:p>
      <w:pPr>
        <w:spacing w:before="60" w:after="100" w:line="276" w:lineRule="auto"/>
        <w:ind w:left="360" w:hanging="288"/>
      </w:pPr>
      <w:r>
        <w:rPr>
          <w:rFonts w:ascii="Segoe UI" w:hAnsi="Segoe UI"/>
          <w:color w:val="334155"/>
          <w:sz w:val="20"/>
        </w:rPr>
        <w:t>•  Auditability. Mr. Rutherford confirmed that Finance has established the governing methodology for the QBR and that the reconciled figure will trace, line for line, to the underlying management-prepared financials. The Board asked that provenance be preserved so the number is unambiguous to any future reader.</w:t>
      </w:r>
      <w:r>
        <w:rPr>
          <w:rFonts w:ascii="Segoe UI" w:hAnsi="Segoe UI"/>
          <w:b/>
          <w:color w:val="334155"/>
          <w:sz w:val="20"/>
        </w:rPr>
      </w:r>
      <w:r>
        <w:rPr>
          <w:rFonts w:ascii="Segoe UI" w:hAnsi="Segoe UI"/>
          <w:b w:val="0"/>
          <w:color w:val="334155"/>
          <w:sz w:val="20"/>
        </w:rPr>
      </w:r>
    </w:p>
    <w:p>
      <w:pPr>
        <w:spacing w:before="60" w:after="100" w:line="276" w:lineRule="auto"/>
        <w:ind w:left="360" w:hanging="288"/>
      </w:pPr>
      <w:r>
        <w:rPr>
          <w:rFonts w:ascii="Segoe UI" w:hAnsi="Segoe UI"/>
          <w:color w:val="334155"/>
          <w:sz w:val="20"/>
        </w:rPr>
        <w:t>•  No parallel views. Ms. Marchetti closed the section by noting that the Board is asking for one number, prepared under one methodology, as directed by Finance.</w:t>
      </w:r>
      <w:r>
        <w:rPr>
          <w:rFonts w:ascii="Segoe UI" w:hAnsi="Segoe UI"/>
          <w:b/>
          <w:color w:val="334155"/>
          <w:sz w:val="20"/>
        </w:rPr>
      </w:r>
      <w:r>
        <w:rPr>
          <w:rFonts w:ascii="Segoe UI" w:hAnsi="Segoe UI"/>
          <w:b w:val="0"/>
          <w:color w:val="334155"/>
          <w:sz w:val="20"/>
        </w:rPr>
      </w:r>
    </w:p>
    <w:p>
      <w:pPr>
        <w:spacing w:before="240" w:after="320" w:line="276" w:lineRule="auto"/>
        <w:shd w:fill="FEF3C7"/>
        <w:pBdr>
          <w:left w:val="single" w:sz="36" w:space="12" w:color="D97706"/>
        </w:pBdr>
        <w:ind w:left="360" w:right="360"/>
      </w:pPr>
      <w:r>
        <w:rPr>
          <w:rFonts w:ascii="Segoe UI" w:hAnsi="Segoe UI"/>
          <w:b/>
          <w:color w:val="78350F"/>
          <w:sz w:val="20"/>
        </w:rPr>
        <w:t>Action: Management (Rutherford / Ramaswamy) to deliver, at the 01/20/2026 QBR, a single reconciled combined FY2025 revenue figure prepared under Finance's governing year-end methodology, with source-of-figures footnote.</w:t>
      </w:r>
      <w:r>
        <w:rPr>
          <w:rFonts w:ascii="Segoe UI" w:hAnsi="Segoe UI"/>
          <w:color w:val="78350F"/>
          <w:sz w:val="20"/>
        </w:rPr>
      </w:r>
    </w:p>
    <w:p>
      <w:pPr>
        <w:keepNext/>
        <w:spacing w:before="440" w:after="160" w:line="276" w:lineRule="auto"/>
        <w:pBdr>
          <w:bottom w:val="single" w:sz="16" w:space="6" w:color="0284C7"/>
        </w:pBdr>
      </w:pPr>
      <w:r>
        <w:rPr>
          <w:rFonts w:ascii="Segoe UI" w:hAnsi="Segoe UI"/>
          <w:b/>
          <w:i w:val="0"/>
          <w:color w:val="0F172A"/>
          <w:sz w:val="29"/>
        </w:rPr>
        <w:t>3. Pipeline Reporting — Definition Discipline</w:t>
      </w:r>
    </w:p>
    <w:p>
      <w:pPr>
        <w:spacing w:before="0" w:after="160" w:line="276" w:lineRule="auto"/>
      </w:pPr>
      <w:r>
        <w:rPr>
          <w:rFonts w:ascii="Segoe UI" w:hAnsi="Segoe UI"/>
          <w:b w:val="0"/>
          <w:i w:val="0"/>
          <w:color w:val="334155"/>
          <w:sz w:val="20"/>
        </w:rPr>
        <w:t>The Board then turned to pipeline reporting. Ms. Ramaswamy noted that with two formerly separate CRM lead pools now consolidated in a single ERPNext instance, pipeline reporting is more sensitive than usual to definitional drift. The Board endorsed a strict-definition posture for the QBR:</w:t>
      </w:r>
    </w:p>
    <w:p>
      <w:pPr>
        <w:spacing w:before="200" w:after="240" w:line="276" w:lineRule="auto"/>
        <w:ind w:left="400" w:right="400"/>
        <w:shd w:fill="F1F5F9"/>
        <w:pBdr>
          <w:left w:val="single" w:sz="36" w:space="12" w:color="0284C7"/>
        </w:pBdr>
      </w:pPr>
      <w:r>
        <w:rPr>
          <w:rFonts w:ascii="Segoe UI" w:hAnsi="Segoe UI"/>
          <w:i/>
          <w:color w:val="0F172A"/>
          <w:sz w:val="20"/>
        </w:rPr>
        <w:t>Board asked management to confirm the pipeline figure at the QBR uses Thornfield's SQL definition (sales-touched only).</w:t>
      </w:r>
    </w:p>
    <w:p>
      <w:pPr>
        <w:keepNext/>
        <w:spacing w:before="200" w:after="120" w:line="276" w:lineRule="auto"/>
      </w:pPr>
      <w:r>
        <w:rPr>
          <w:rFonts w:ascii="Segoe UI" w:hAnsi="Segoe UI"/>
          <w:b/>
          <w:i w:val="0"/>
          <w:color w:val="0F172A"/>
          <w:sz w:val="20"/>
        </w:rPr>
        <w:t>Supporting discussion:</w:t>
      </w:r>
    </w:p>
    <w:p>
      <w:pPr>
        <w:spacing w:before="60" w:after="100" w:line="276" w:lineRule="auto"/>
        <w:ind w:left="360" w:hanging="288"/>
      </w:pPr>
      <w:r>
        <w:rPr>
          <w:rFonts w:ascii="Segoe UI" w:hAnsi="Segoe UI"/>
          <w:color w:val="334155"/>
          <w:sz w:val="20"/>
        </w:rPr>
        <w:t>•  Definition conformance. The Board confirmed that the QBR pipeline figure should be prepared consistent with Thornfield's established definitions.</w:t>
      </w:r>
      <w:r>
        <w:rPr>
          <w:rFonts w:ascii="Segoe UI" w:hAnsi="Segoe UI"/>
          <w:b/>
          <w:color w:val="334155"/>
          <w:sz w:val="20"/>
        </w:rPr>
      </w:r>
      <w:r>
        <w:rPr>
          <w:rFonts w:ascii="Segoe UI" w:hAnsi="Segoe UI"/>
          <w:b w:val="0"/>
          <w:color w:val="334155"/>
          <w:sz w:val="20"/>
        </w:rPr>
      </w:r>
    </w:p>
    <w:p>
      <w:pPr>
        <w:spacing w:before="60" w:after="100" w:line="276" w:lineRule="auto"/>
        <w:ind w:left="360" w:hanging="288"/>
      </w:pPr>
      <w:r>
        <w:rPr>
          <w:rFonts w:ascii="Segoe UI" w:hAnsi="Segoe UI"/>
          <w:color w:val="334155"/>
          <w:sz w:val="20"/>
        </w:rPr>
        <w:t>•  Methodology conformance. Dr. Krishnamurthy asked management to confirm the pipeline methodology would comply with Thornfield's established SQL definition standard. Ms. Ramaswamy confirmed that the QBR pipeline figure would be prepared in conformance with Analytics &amp; Reporting standards.</w:t>
      </w:r>
      <w:r>
        <w:rPr>
          <w:rFonts w:ascii="Segoe UI" w:hAnsi="Segoe UI"/>
          <w:b/>
          <w:color w:val="334155"/>
          <w:sz w:val="20"/>
        </w:rPr>
      </w:r>
      <w:r>
        <w:rPr>
          <w:rFonts w:ascii="Segoe UI" w:hAnsi="Segoe UI"/>
          <w:b w:val="0"/>
          <w:color w:val="334155"/>
          <w:sz w:val="20"/>
        </w:rPr>
      </w:r>
    </w:p>
    <w:p>
      <w:pPr>
        <w:spacing w:before="60" w:after="100" w:line="276" w:lineRule="auto"/>
        <w:ind w:left="360" w:hanging="288"/>
      </w:pPr>
      <w:r>
        <w:rPr>
          <w:rFonts w:ascii="Segoe UI" w:hAnsi="Segoe UI"/>
          <w:color w:val="334155"/>
          <w:sz w:val="20"/>
        </w:rPr>
        <w:t xml:space="preserve">•  </w:t>
      </w:r>
      <w:r>
        <w:rPr>
          <w:rFonts w:ascii="Segoe UI" w:hAnsi="Segoe UI"/>
          <w:b/>
          <w:color w:val="334155"/>
          <w:sz w:val="20"/>
        </w:rPr>
        <w:t xml:space="preserve">Consistency with prior reporting. </w:t>
      </w:r>
      <w:r>
        <w:rPr>
          <w:rFonts w:ascii="Segoe UI" w:hAnsi="Segoe UI"/>
          <w:b w:val="0"/>
          <w:color w:val="334155"/>
          <w:sz w:val="20"/>
        </w:rPr>
        <w:t>Mr. Whittaker asked that the QBR footnote clarify that the sales-touched definition is unchanged from Thornfield's pre-close standard, so that the Board can compare the post-close pipeline figure to prior-period Thornfield pipeline figures without a methodology asterisk.</w:t>
      </w:r>
    </w:p>
    <w:p>
      <w:pPr>
        <w:spacing w:before="240" w:after="320" w:line="276" w:lineRule="auto"/>
        <w:shd w:fill="FEF3C7"/>
        <w:pBdr>
          <w:left w:val="single" w:sz="36" w:space="12" w:color="D97706"/>
        </w:pBdr>
        <w:ind w:left="360" w:right="360"/>
      </w:pPr>
      <w:r>
        <w:rPr>
          <w:rFonts w:ascii="Segoe UI" w:hAnsi="Segoe UI"/>
          <w:b/>
          <w:color w:val="78350F"/>
          <w:sz w:val="20"/>
        </w:rPr>
        <w:t>Action: Management (Ramaswamy) to prepare, ahead of the 01/20/2026 QBR, the pipeline value slide consistent with the approved definition, with methodology conforming to Analytics &amp; Reporting standards and source documentation attached.</w:t>
      </w:r>
      <w:r>
        <w:rPr>
          <w:rFonts w:ascii="Segoe UI" w:hAnsi="Segoe UI"/>
          <w:color w:val="78350F"/>
          <w:sz w:val="20"/>
        </w:rPr>
      </w:r>
    </w:p>
    <w:p>
      <w:pPr>
        <w:keepNext/>
        <w:spacing w:before="440" w:after="160" w:line="276" w:lineRule="auto"/>
        <w:pBdr>
          <w:bottom w:val="single" w:sz="16" w:space="6" w:color="0284C7"/>
        </w:pBdr>
      </w:pPr>
      <w:r>
        <w:rPr>
          <w:rFonts w:ascii="Segoe UI" w:hAnsi="Segoe UI"/>
          <w:b/>
          <w:i w:val="0"/>
          <w:color w:val="0F172A"/>
          <w:sz w:val="29"/>
        </w:rPr>
        <w:t>4. Other Business</w:t>
      </w:r>
    </w:p>
    <w:p>
      <w:pPr>
        <w:spacing w:before="60" w:after="100" w:line="276" w:lineRule="auto"/>
        <w:ind w:left="360" w:hanging="288"/>
      </w:pPr>
      <w:r>
        <w:rPr>
          <w:rFonts w:ascii="Segoe UI" w:hAnsi="Segoe UI"/>
          <w:color w:val="334155"/>
          <w:sz w:val="20"/>
        </w:rPr>
        <w:t>•  Compliance. Ms. Marchetti noted that Compliance &amp; Legal Counsel (Linh Vuong) has issued the Compliance Reserve &amp; Claims-Review Policy dated 09/15/2025. No Board action required at this meeting.</w:t>
      </w:r>
      <w:r>
        <w:rPr>
          <w:rFonts w:ascii="Segoe UI" w:hAnsi="Segoe UI"/>
          <w:b/>
          <w:color w:val="334155"/>
          <w:sz w:val="20"/>
        </w:rPr>
      </w:r>
      <w:r>
        <w:rPr>
          <w:rFonts w:ascii="Segoe UI" w:hAnsi="Segoe UI"/>
          <w:b w:val="0"/>
          <w:color w:val="334155"/>
          <w:sz w:val="20"/>
        </w:rPr>
      </w:r>
    </w:p>
    <w:p>
      <w:pPr>
        <w:spacing w:before="60" w:after="100" w:line="276" w:lineRule="auto"/>
        <w:ind w:left="360" w:hanging="288"/>
      </w:pPr>
      <w:r>
        <w:rPr>
          <w:rFonts w:ascii="Segoe UI" w:hAnsi="Segoe UI"/>
          <w:color w:val="334155"/>
          <w:sz w:val="20"/>
        </w:rPr>
        <w:t>•  Next QBR. First post-close QBR confirmed for 01/20/2026. Pre-read materials due to the Board no later than 01/16/2026 (four calendar days before the 01/20/2026 QBR).</w:t>
      </w:r>
      <w:r>
        <w:rPr>
          <w:rFonts w:ascii="Segoe UI" w:hAnsi="Segoe UI"/>
          <w:b/>
          <w:color w:val="334155"/>
          <w:sz w:val="20"/>
        </w:rPr>
      </w:r>
      <w:r>
        <w:rPr>
          <w:rFonts w:ascii="Segoe UI" w:hAnsi="Segoe UI"/>
          <w:b w:val="0"/>
          <w:color w:val="334155"/>
          <w:sz w:val="20"/>
        </w:rPr>
      </w:r>
    </w:p>
    <w:p>
      <w:pPr>
        <w:spacing w:before="60" w:after="100" w:line="276" w:lineRule="auto"/>
        <w:ind w:left="360" w:hanging="288"/>
      </w:pPr>
      <w:r>
        <w:rPr>
          <w:rFonts w:ascii="Segoe UI" w:hAnsi="Segoe UI"/>
          <w:color w:val="334155"/>
          <w:sz w:val="20"/>
        </w:rPr>
        <w:t xml:space="preserve">•  </w:t>
      </w:r>
      <w:r>
        <w:rPr>
          <w:rFonts w:ascii="Segoe UI" w:hAnsi="Segoe UI"/>
          <w:b/>
          <w:color w:val="334155"/>
          <w:sz w:val="20"/>
        </w:rPr>
        <w:t xml:space="preserve">Executive session. </w:t>
      </w:r>
      <w:r>
        <w:rPr>
          <w:rFonts w:ascii="Segoe UI" w:hAnsi="Segoe UI"/>
          <w:b w:val="0"/>
          <w:color w:val="334155"/>
          <w:sz w:val="20"/>
        </w:rPr>
        <w:t>Board entered closed executive session at 10:22 AM ET (management excused). No formal resolutions were passed in executive session; discussion summary retained in the Chair's file.</w:t>
      </w:r>
    </w:p>
    <w:p>
      <w:pPr>
        <w:keepNext/>
        <w:spacing w:before="440" w:after="160" w:line="276" w:lineRule="auto"/>
        <w:pBdr>
          <w:bottom w:val="single" w:sz="16" w:space="6" w:color="0284C7"/>
        </w:pBdr>
      </w:pPr>
      <w:r>
        <w:rPr>
          <w:rFonts w:ascii="Segoe UI" w:hAnsi="Segoe UI"/>
          <w:b/>
          <w:i w:val="0"/>
          <w:color w:val="0F172A"/>
          <w:sz w:val="29"/>
        </w:rPr>
        <w:t>5. Actions and Owners</w:t>
      </w:r>
    </w:p>
    <w:tbl>
      <w:tblPr>
        <w:tblW w:type="auto" w:w="0"/>
        <w:tblLayout w:type="fixed"/>
        <w:tblLook w:firstColumn="1" w:firstRow="1" w:lastColumn="0" w:lastRow="0" w:noHBand="0" w:noVBand="1" w:val="04A0"/>
        <w:tblBorders>
          <w:top w:val="single" w:sz="12" w:space="0" w:color="0F172A"/>
          <w:bottom w:val="single" w:sz="12" w:space="0" w:color="0F172A"/>
          <w:insideH w:val="single" w:sz="4" w:space="0" w:color="E2E8F0"/>
          <w:insideV w:val="none"/>
          <w:left w:val="none"/>
          <w:right w:val="none"/>
        </w:tblBorders>
      </w:tblPr>
      <w:tblGrid>
        <w:gridCol w:w="2340"/>
        <w:gridCol w:w="2340"/>
        <w:gridCol w:w="2340"/>
        <w:gridCol w:w="2340"/>
      </w:tblGrid>
      <w:tr>
        <w:trPr>
          <w:cantSplit/>
          <w:tblHeader/>
        </w:trPr>
        <w:tc>
          <w:tcPr>
            <w:tcW w:type="dxa" w:w="576"/>
            <w:tcBorders>
              <w:top w:val="single" w:sz="4" w:color="BFBFBF"/>
              <w:left w:val="single" w:sz="4" w:color="BFBFBF"/>
              <w:bottom w:val="single" w:sz="4" w:color="BFBFBF"/>
              <w:right w:val="single" w:sz="4" w:color="BFBFBF"/>
            </w:tcBorders>
            <w:shd w:fill="0F172A"/>
            <w:tcMar>
              <w:top w:w="160" w:type="dxa"/>
              <w:bottom w:w="160" w:type="dxa"/>
              <w:left w:w="180" w:type="dxa"/>
              <w:right w:w="180" w:type="dxa"/>
            </w:tcMar>
          </w:tcPr>
          <w:p>
            <w:pPr>
              <w:spacing w:before="0" w:after="0" w:line="276" w:lineRule="auto"/>
            </w:pPr>
            <w:r>
              <w:rPr>
                <w:rFonts w:ascii="Segoe UI" w:hAnsi="Segoe UI"/>
                <w:b/>
                <w:color w:val="FFFFFF"/>
                <w:sz w:val="19"/>
              </w:rPr>
            </w:r>
            <w:r>
              <w:rPr>
                <w:rFonts w:ascii="Segoe UI" w:hAnsi="Segoe UI"/>
                <w:b/>
                <w:color w:val="FFFFFF"/>
                <w:sz w:val="19"/>
              </w:rPr>
              <w:t>#</w:t>
            </w:r>
          </w:p>
        </w:tc>
        <w:tc>
          <w:tcPr>
            <w:tcW w:type="dxa" w:w="5184"/>
            <w:tcBorders>
              <w:top w:val="single" w:sz="4" w:color="BFBFBF"/>
              <w:left w:val="single" w:sz="4" w:color="BFBFBF"/>
              <w:bottom w:val="single" w:sz="4" w:color="BFBFBF"/>
              <w:right w:val="single" w:sz="4" w:color="BFBFBF"/>
            </w:tcBorders>
            <w:shd w:fill="0F172A"/>
            <w:tcMar>
              <w:top w:w="160" w:type="dxa"/>
              <w:bottom w:w="160" w:type="dxa"/>
              <w:left w:w="180" w:type="dxa"/>
              <w:right w:w="180" w:type="dxa"/>
            </w:tcMar>
          </w:tcPr>
          <w:p>
            <w:pPr>
              <w:spacing w:before="0" w:after="0" w:line="276" w:lineRule="auto"/>
            </w:pPr>
            <w:r>
              <w:rPr>
                <w:rFonts w:ascii="Segoe UI" w:hAnsi="Segoe UI"/>
                <w:b/>
                <w:color w:val="FFFFFF"/>
                <w:sz w:val="19"/>
              </w:rPr>
            </w:r>
            <w:r>
              <w:rPr>
                <w:rFonts w:ascii="Segoe UI" w:hAnsi="Segoe UI"/>
                <w:b/>
                <w:color w:val="FFFFFF"/>
                <w:sz w:val="19"/>
              </w:rPr>
              <w:t>Action</w:t>
            </w:r>
          </w:p>
        </w:tc>
        <w:tc>
          <w:tcPr>
            <w:tcW w:type="dxa" w:w="2016"/>
            <w:tcBorders>
              <w:top w:val="single" w:sz="4" w:color="BFBFBF"/>
              <w:left w:val="single" w:sz="4" w:color="BFBFBF"/>
              <w:bottom w:val="single" w:sz="4" w:color="BFBFBF"/>
              <w:right w:val="single" w:sz="4" w:color="BFBFBF"/>
            </w:tcBorders>
            <w:shd w:fill="0F172A"/>
            <w:tcMar>
              <w:top w:w="160" w:type="dxa"/>
              <w:bottom w:w="160" w:type="dxa"/>
              <w:left w:w="180" w:type="dxa"/>
              <w:right w:w="180" w:type="dxa"/>
            </w:tcMar>
          </w:tcPr>
          <w:p>
            <w:pPr>
              <w:spacing w:before="0" w:after="0" w:line="276" w:lineRule="auto"/>
            </w:pPr>
            <w:r>
              <w:rPr>
                <w:rFonts w:ascii="Segoe UI" w:hAnsi="Segoe UI"/>
                <w:b/>
                <w:color w:val="FFFFFF"/>
                <w:sz w:val="19"/>
              </w:rPr>
            </w:r>
            <w:r>
              <w:rPr>
                <w:rFonts w:ascii="Segoe UI" w:hAnsi="Segoe UI"/>
                <w:b/>
                <w:color w:val="FFFFFF"/>
                <w:sz w:val="19"/>
              </w:rPr>
              <w:t>Owner</w:t>
            </w:r>
          </w:p>
        </w:tc>
        <w:tc>
          <w:tcPr>
            <w:tcW w:type="dxa" w:w="1584"/>
            <w:tcBorders>
              <w:top w:val="single" w:sz="4" w:color="BFBFBF"/>
              <w:left w:val="single" w:sz="4" w:color="BFBFBF"/>
              <w:bottom w:val="single" w:sz="4" w:color="BFBFBF"/>
              <w:right w:val="single" w:sz="4" w:color="BFBFBF"/>
            </w:tcBorders>
            <w:shd w:fill="0F172A"/>
            <w:tcMar>
              <w:top w:w="160" w:type="dxa"/>
              <w:bottom w:w="160" w:type="dxa"/>
              <w:left w:w="180" w:type="dxa"/>
              <w:right w:w="180" w:type="dxa"/>
            </w:tcMar>
          </w:tcPr>
          <w:p>
            <w:pPr>
              <w:spacing w:before="0" w:after="0" w:line="276" w:lineRule="auto"/>
            </w:pPr>
            <w:r>
              <w:rPr>
                <w:rFonts w:ascii="Segoe UI" w:hAnsi="Segoe UI"/>
                <w:b/>
                <w:color w:val="FFFFFF"/>
                <w:sz w:val="19"/>
              </w:rPr>
            </w:r>
            <w:r>
              <w:rPr>
                <w:rFonts w:ascii="Segoe UI" w:hAnsi="Segoe UI"/>
                <w:b/>
                <w:color w:val="FFFFFF"/>
                <w:sz w:val="19"/>
              </w:rPr>
              <w:t>Due</w:t>
            </w:r>
          </w:p>
        </w:tc>
      </w:tr>
      <w:tr>
        <w:trPr>
          <w:cantSplit/>
        </w:trPr>
        <w:tc>
          <w:tcPr>
            <w:tcW w:type="dxa" w:w="576"/>
            <w:tcBorders>
              <w:top w:val="single" w:sz="4" w:color="BFBFBF"/>
              <w:left w:val="single" w:sz="4" w:color="BFBFBF"/>
              <w:bottom w:val="single" w:sz="4" w:color="BFBFBF"/>
              <w:right w:val="single" w:sz="4" w:color="BFBFBF"/>
            </w:tcBorders>
            <w:shd w:fill="FFFFFF"/>
            <w:tcMar>
              <w:top w:w="120" w:type="dxa"/>
              <w:bottom w:w="120" w:type="dxa"/>
              <w:left w:w="180" w:type="dxa"/>
              <w:right w:w="180" w:type="dxa"/>
            </w:tcMar>
          </w:tcPr>
          <w:p>
            <w:pPr>
              <w:spacing w:before="0" w:after="0" w:line="276" w:lineRule="auto"/>
              <w:jc w:val="center"/>
            </w:pPr>
            <w:r>
              <w:rPr>
                <w:rFonts w:ascii="Segoe UI" w:hAnsi="Segoe UI"/>
                <w:color w:val="334155"/>
                <w:sz w:val="19"/>
              </w:rPr>
            </w:r>
            <w:r>
              <w:rPr>
                <w:rFonts w:ascii="Segoe UI" w:hAnsi="Segoe UI"/>
                <w:color w:val="334155"/>
                <w:sz w:val="19"/>
              </w:rPr>
              <w:t>1</w:t>
            </w:r>
          </w:p>
        </w:tc>
        <w:tc>
          <w:tcPr>
            <w:tcW w:type="dxa" w:w="5184"/>
            <w:tcBorders>
              <w:top w:val="single" w:sz="4" w:color="BFBFBF"/>
              <w:left w:val="single" w:sz="4" w:color="BFBFBF"/>
              <w:bottom w:val="single" w:sz="4" w:color="BFBFBF"/>
              <w:right w:val="single" w:sz="4" w:color="BFBFBF"/>
            </w:tcBorders>
            <w:shd w:fill="FFFFFF"/>
            <w:tcMar>
              <w:top w:w="120" w:type="dxa"/>
              <w:bottom w:w="120" w:type="dxa"/>
              <w:left w:w="180" w:type="dxa"/>
              <w:right w:w="180" w:type="dxa"/>
            </w:tcMar>
          </w:tcPr>
          <w:p>
            <w:pPr>
              <w:spacing w:before="0" w:after="0" w:line="276" w:lineRule="auto"/>
            </w:pPr>
            <w:r>
              <w:rPr>
                <w:rFonts w:ascii="Segoe UI" w:hAnsi="Segoe UI"/>
                <w:color w:val="334155"/>
                <w:sz w:val="19"/>
              </w:rPr>
              <w:t>Deliver a single reconciled combined FY2025 revenue figure prepared under Finance's governing year-end methodology, with source-of-figures footnote</w:t>
            </w:r>
            <w:r>
              <w:rPr>
                <w:rFonts w:ascii="Segoe UI" w:hAnsi="Segoe UI"/>
                <w:color w:val="334155"/>
                <w:sz w:val="19"/>
              </w:rPr>
            </w:r>
          </w:p>
        </w:tc>
        <w:tc>
          <w:tcPr>
            <w:tcW w:type="dxa" w:w="2016"/>
            <w:tcBorders>
              <w:top w:val="single" w:sz="4" w:color="BFBFBF"/>
              <w:left w:val="single" w:sz="4" w:color="BFBFBF"/>
              <w:bottom w:val="single" w:sz="4" w:color="BFBFBF"/>
              <w:right w:val="single" w:sz="4" w:color="BFBFBF"/>
            </w:tcBorders>
            <w:shd w:fill="FFFFFF"/>
            <w:tcMar>
              <w:top w:w="120" w:type="dxa"/>
              <w:bottom w:w="120" w:type="dxa"/>
              <w:left w:w="180" w:type="dxa"/>
              <w:right w:w="180" w:type="dxa"/>
            </w:tcMar>
          </w:tcPr>
          <w:p>
            <w:pPr>
              <w:spacing w:before="0" w:after="0" w:line="276" w:lineRule="auto"/>
            </w:pPr>
            <w:r>
              <w:rPr>
                <w:rFonts w:ascii="Segoe UI" w:hAnsi="Segoe UI"/>
                <w:color w:val="334155"/>
                <w:sz w:val="19"/>
              </w:rPr>
            </w:r>
            <w:r>
              <w:rPr>
                <w:rFonts w:ascii="Segoe UI" w:hAnsi="Segoe UI"/>
                <w:color w:val="334155"/>
                <w:sz w:val="19"/>
              </w:rPr>
              <w:t>Rutherford / Ramaswamy</w:t>
            </w:r>
          </w:p>
        </w:tc>
        <w:tc>
          <w:tcPr>
            <w:tcW w:type="dxa" w:w="1584"/>
            <w:tcBorders>
              <w:top w:val="single" w:sz="4" w:color="BFBFBF"/>
              <w:left w:val="single" w:sz="4" w:color="BFBFBF"/>
              <w:bottom w:val="single" w:sz="4" w:color="BFBFBF"/>
              <w:right w:val="single" w:sz="4" w:color="BFBFBF"/>
            </w:tcBorders>
            <w:shd w:fill="FFFFFF"/>
            <w:tcMar>
              <w:top w:w="120" w:type="dxa"/>
              <w:bottom w:w="120" w:type="dxa"/>
              <w:left w:w="180" w:type="dxa"/>
              <w:right w:w="180" w:type="dxa"/>
            </w:tcMar>
          </w:tcPr>
          <w:p>
            <w:pPr>
              <w:spacing w:before="0" w:after="0" w:line="276" w:lineRule="auto"/>
            </w:pPr>
            <w:r>
              <w:rPr>
                <w:rFonts w:ascii="Segoe UI" w:hAnsi="Segoe UI"/>
                <w:color w:val="334155"/>
                <w:sz w:val="19"/>
              </w:rPr>
              <w:t>01/20/2026 QBR</w:t>
            </w:r>
            <w:r>
              <w:rPr>
                <w:rFonts w:ascii="Segoe UI" w:hAnsi="Segoe UI"/>
                <w:color w:val="334155"/>
                <w:sz w:val="19"/>
              </w:rPr>
            </w:r>
          </w:p>
        </w:tc>
      </w:tr>
      <w:tr>
        <w:trPr>
          <w:cantSplit/>
        </w:trPr>
        <w:tc>
          <w:tcPr>
            <w:tcW w:type="dxa" w:w="576"/>
            <w:tcBorders>
              <w:top w:val="single" w:sz="4" w:color="BFBFBF"/>
              <w:left w:val="single" w:sz="4" w:color="BFBFBF"/>
              <w:bottom w:val="single" w:sz="4" w:color="BFBFBF"/>
              <w:right w:val="single" w:sz="4" w:color="BFBFBF"/>
            </w:tcBorders>
            <w:shd w:fill="F8FAFC"/>
            <w:tcMar>
              <w:top w:w="120" w:type="dxa"/>
              <w:bottom w:w="120" w:type="dxa"/>
              <w:left w:w="180" w:type="dxa"/>
              <w:right w:w="180" w:type="dxa"/>
            </w:tcMar>
          </w:tcPr>
          <w:p>
            <w:pPr>
              <w:spacing w:before="0" w:after="0" w:line="276" w:lineRule="auto"/>
              <w:jc w:val="center"/>
            </w:pPr>
            <w:r>
              <w:rPr>
                <w:rFonts w:ascii="Segoe UI" w:hAnsi="Segoe UI"/>
                <w:color w:val="334155"/>
                <w:sz w:val="19"/>
              </w:rPr>
            </w:r>
            <w:r>
              <w:rPr>
                <w:rFonts w:ascii="Segoe UI" w:hAnsi="Segoe UI"/>
                <w:color w:val="334155"/>
                <w:sz w:val="19"/>
              </w:rPr>
              <w:t>2</w:t>
            </w:r>
          </w:p>
        </w:tc>
        <w:tc>
          <w:tcPr>
            <w:tcW w:type="dxa" w:w="5184"/>
            <w:tcBorders>
              <w:top w:val="single" w:sz="4" w:color="BFBFBF"/>
              <w:left w:val="single" w:sz="4" w:color="BFBFBF"/>
              <w:bottom w:val="single" w:sz="4" w:color="BFBFBF"/>
              <w:right w:val="single" w:sz="4" w:color="BFBFBF"/>
            </w:tcBorders>
            <w:shd w:fill="F8FAFC"/>
            <w:tcMar>
              <w:top w:w="120" w:type="dxa"/>
              <w:bottom w:w="120" w:type="dxa"/>
              <w:left w:w="180" w:type="dxa"/>
              <w:right w:w="180" w:type="dxa"/>
            </w:tcMar>
          </w:tcPr>
          <w:p>
            <w:pPr>
              <w:spacing w:before="0" w:after="0" w:line="276" w:lineRule="auto"/>
            </w:pPr>
            <w:r>
              <w:rPr>
                <w:rFonts w:ascii="Segoe UI" w:hAnsi="Segoe UI"/>
                <w:color w:val="334155"/>
                <w:sz w:val="19"/>
              </w:rPr>
              <w:t>Confirm the QBR pipeline figure uses the approved SQL definition</w:t>
            </w:r>
            <w:r>
              <w:rPr>
                <w:rFonts w:ascii="Segoe UI" w:hAnsi="Segoe UI"/>
                <w:color w:val="334155"/>
                <w:sz w:val="19"/>
              </w:rPr>
            </w:r>
          </w:p>
        </w:tc>
        <w:tc>
          <w:tcPr>
            <w:tcW w:type="dxa" w:w="2016"/>
            <w:tcBorders>
              <w:top w:val="single" w:sz="4" w:color="BFBFBF"/>
              <w:left w:val="single" w:sz="4" w:color="BFBFBF"/>
              <w:bottom w:val="single" w:sz="4" w:color="BFBFBF"/>
              <w:right w:val="single" w:sz="4" w:color="BFBFBF"/>
            </w:tcBorders>
            <w:shd w:fill="F8FAFC"/>
            <w:tcMar>
              <w:top w:w="120" w:type="dxa"/>
              <w:bottom w:w="120" w:type="dxa"/>
              <w:left w:w="180" w:type="dxa"/>
              <w:right w:w="180" w:type="dxa"/>
            </w:tcMar>
          </w:tcPr>
          <w:p>
            <w:pPr>
              <w:spacing w:before="0" w:after="0" w:line="276" w:lineRule="auto"/>
            </w:pPr>
            <w:r>
              <w:rPr>
                <w:rFonts w:ascii="Segoe UI" w:hAnsi="Segoe UI"/>
                <w:color w:val="334155"/>
                <w:sz w:val="19"/>
              </w:rPr>
            </w:r>
            <w:r>
              <w:rPr>
                <w:rFonts w:ascii="Segoe UI" w:hAnsi="Segoe UI"/>
                <w:color w:val="334155"/>
                <w:sz w:val="19"/>
              </w:rPr>
              <w:t>Ramaswamy</w:t>
            </w:r>
          </w:p>
        </w:tc>
        <w:tc>
          <w:tcPr>
            <w:tcW w:type="dxa" w:w="1584"/>
            <w:tcBorders>
              <w:top w:val="single" w:sz="4" w:color="BFBFBF"/>
              <w:left w:val="single" w:sz="4" w:color="BFBFBF"/>
              <w:bottom w:val="single" w:sz="4" w:color="BFBFBF"/>
              <w:right w:val="single" w:sz="4" w:color="BFBFBF"/>
            </w:tcBorders>
            <w:shd w:fill="F8FAFC"/>
            <w:tcMar>
              <w:top w:w="120" w:type="dxa"/>
              <w:bottom w:w="120" w:type="dxa"/>
              <w:left w:w="180" w:type="dxa"/>
              <w:right w:w="180" w:type="dxa"/>
            </w:tcMar>
          </w:tcPr>
          <w:p>
            <w:pPr>
              <w:spacing w:before="0" w:after="0" w:line="276" w:lineRule="auto"/>
            </w:pPr>
            <w:r>
              <w:rPr>
                <w:rFonts w:ascii="Segoe UI" w:hAnsi="Segoe UI"/>
                <w:color w:val="334155"/>
                <w:sz w:val="19"/>
              </w:rPr>
              <w:t>01/20/2026 QBR</w:t>
            </w:r>
            <w:r>
              <w:rPr>
                <w:rFonts w:ascii="Segoe UI" w:hAnsi="Segoe UI"/>
                <w:color w:val="334155"/>
                <w:sz w:val="19"/>
              </w:rPr>
            </w:r>
          </w:p>
        </w:tc>
      </w:tr>
      <w:tr>
        <w:trPr>
          <w:cantSplit/>
        </w:trPr>
        <w:tc>
          <w:tcPr>
            <w:tcW w:type="dxa" w:w="576"/>
            <w:tcBorders>
              <w:top w:val="single" w:sz="4" w:color="BFBFBF"/>
              <w:left w:val="single" w:sz="4" w:color="BFBFBF"/>
              <w:bottom w:val="single" w:sz="4" w:color="BFBFBF"/>
              <w:right w:val="single" w:sz="4" w:color="BFBFBF"/>
            </w:tcBorders>
            <w:shd w:fill="FFFFFF"/>
            <w:tcMar>
              <w:top w:w="120" w:type="dxa"/>
              <w:bottom w:w="120" w:type="dxa"/>
              <w:left w:w="180" w:type="dxa"/>
              <w:right w:w="180" w:type="dxa"/>
            </w:tcMar>
          </w:tcPr>
          <w:p>
            <w:pPr>
              <w:spacing w:before="0" w:after="0" w:line="276" w:lineRule="auto"/>
              <w:jc w:val="center"/>
            </w:pPr>
            <w:r>
              <w:rPr>
                <w:rFonts w:ascii="Segoe UI" w:hAnsi="Segoe UI"/>
                <w:color w:val="334155"/>
                <w:sz w:val="19"/>
              </w:rPr>
            </w:r>
            <w:r>
              <w:rPr>
                <w:rFonts w:ascii="Segoe UI" w:hAnsi="Segoe UI"/>
                <w:color w:val="334155"/>
                <w:sz w:val="19"/>
              </w:rPr>
              <w:t>3</w:t>
            </w:r>
          </w:p>
        </w:tc>
        <w:tc>
          <w:tcPr>
            <w:tcW w:type="dxa" w:w="5184"/>
            <w:tcBorders>
              <w:top w:val="single" w:sz="4" w:color="BFBFBF"/>
              <w:left w:val="single" w:sz="4" w:color="BFBFBF"/>
              <w:bottom w:val="single" w:sz="4" w:color="BFBFBF"/>
              <w:right w:val="single" w:sz="4" w:color="BFBFBF"/>
            </w:tcBorders>
            <w:shd w:fill="FFFFFF"/>
            <w:tcMar>
              <w:top w:w="120" w:type="dxa"/>
              <w:bottom w:w="120" w:type="dxa"/>
              <w:left w:w="180" w:type="dxa"/>
              <w:right w:w="180" w:type="dxa"/>
            </w:tcMar>
          </w:tcPr>
          <w:p>
            <w:pPr>
              <w:spacing w:before="0" w:after="0" w:line="276" w:lineRule="auto"/>
            </w:pPr>
            <w:r>
              <w:rPr>
                <w:rFonts w:ascii="Segoe UI" w:hAnsi="Segoe UI"/>
                <w:color w:val="334155"/>
                <w:sz w:val="19"/>
              </w:rPr>
            </w:r>
            <w:r>
              <w:rPr>
                <w:rFonts w:ascii="Segoe UI" w:hAnsi="Segoe UI"/>
                <w:color w:val="334155"/>
                <w:sz w:val="19"/>
              </w:rPr>
              <w:t>Circulate QBR pre-read to Board</w:t>
            </w:r>
          </w:p>
        </w:tc>
        <w:tc>
          <w:tcPr>
            <w:tcW w:type="dxa" w:w="2016"/>
            <w:tcBorders>
              <w:top w:val="single" w:sz="4" w:color="BFBFBF"/>
              <w:left w:val="single" w:sz="4" w:color="BFBFBF"/>
              <w:bottom w:val="single" w:sz="4" w:color="BFBFBF"/>
              <w:right w:val="single" w:sz="4" w:color="BFBFBF"/>
            </w:tcBorders>
            <w:shd w:fill="FFFFFF"/>
            <w:tcMar>
              <w:top w:w="120" w:type="dxa"/>
              <w:bottom w:w="120" w:type="dxa"/>
              <w:left w:w="180" w:type="dxa"/>
              <w:right w:w="180" w:type="dxa"/>
            </w:tcMar>
          </w:tcPr>
          <w:p>
            <w:pPr>
              <w:spacing w:before="0" w:after="0" w:line="276" w:lineRule="auto"/>
            </w:pPr>
            <w:r>
              <w:rPr>
                <w:rFonts w:ascii="Segoe UI" w:hAnsi="Segoe UI"/>
                <w:color w:val="334155"/>
                <w:sz w:val="19"/>
              </w:rPr>
            </w:r>
            <w:r>
              <w:rPr>
                <w:rFonts w:ascii="Segoe UI" w:hAnsi="Segoe UI"/>
                <w:color w:val="334155"/>
                <w:sz w:val="19"/>
              </w:rPr>
              <w:t>Whitfield</w:t>
            </w:r>
          </w:p>
        </w:tc>
        <w:tc>
          <w:tcPr>
            <w:tcW w:type="dxa" w:w="1584"/>
            <w:tcBorders>
              <w:top w:val="single" w:sz="4" w:color="BFBFBF"/>
              <w:left w:val="single" w:sz="4" w:color="BFBFBF"/>
              <w:bottom w:val="single" w:sz="4" w:color="BFBFBF"/>
              <w:right w:val="single" w:sz="4" w:color="BFBFBF"/>
            </w:tcBorders>
            <w:shd w:fill="FFFFFF"/>
            <w:tcMar>
              <w:top w:w="120" w:type="dxa"/>
              <w:bottom w:w="120" w:type="dxa"/>
              <w:left w:w="180" w:type="dxa"/>
              <w:right w:w="180" w:type="dxa"/>
            </w:tcMar>
          </w:tcPr>
          <w:p>
            <w:pPr>
              <w:spacing w:before="0" w:after="0" w:line="276" w:lineRule="auto"/>
            </w:pPr>
            <w:r>
              <w:rPr>
                <w:rFonts w:ascii="Segoe UI" w:hAnsi="Segoe UI"/>
                <w:color w:val="334155"/>
                <w:sz w:val="19"/>
              </w:rPr>
              <w:t>01/16/2026</w:t>
            </w:r>
            <w:r>
              <w:rPr>
                <w:rFonts w:ascii="Segoe UI" w:hAnsi="Segoe UI"/>
                <w:color w:val="334155"/>
                <w:sz w:val="19"/>
              </w:rPr>
            </w:r>
          </w:p>
        </w:tc>
      </w:tr>
    </w:tbl>
    <w:p>
      <w:pPr>
        <w:keepNext/>
        <w:spacing w:before="560" w:after="40" w:line="276" w:lineRule="auto"/>
      </w:pPr>
      <w:r>
        <w:rPr>
          <w:rFonts w:ascii="Segoe UI" w:hAnsi="Segoe UI"/>
          <w:b w:val="0"/>
          <w:i w:val="0"/>
          <w:color w:val="CBD5E1"/>
          <w:sz w:val="20"/>
        </w:rPr>
        <w:t>________________________________</w:t>
      </w:r>
    </w:p>
    <w:p>
      <w:pPr>
        <w:spacing w:before="40" w:after="320" w:line="276" w:lineRule="auto"/>
      </w:pPr>
      <w:r>
        <w:rPr>
          <w:rFonts w:ascii="Segoe UI" w:hAnsi="Segoe UI"/>
          <w:b w:val="0"/>
          <w:i w:val="0"/>
          <w:color w:val="0F172A"/>
          <w:sz w:val="20"/>
        </w:rPr>
        <w:t>Approved by: Elena Marchetti, Board Chair        Date: 10/24/2025</w:t>
      </w:r>
    </w:p>
    <w:p>
      <w:pPr>
        <w:spacing w:line="276" w:lineRule="auto" w:before="0" w:after="0"/>
      </w:pPr>
    </w:p>
    <w:p>
      <w:pPr>
        <w:keepNext/>
        <w:spacing w:line="276" w:lineRule="auto" w:before="240" w:after="320"/>
      </w:pPr>
      <w:r>
        <w:rPr>
          <w:rFonts w:ascii="Segoe UI" w:hAnsi="Segoe UI"/>
          <w:i/>
          <w:color w:val="64748B"/>
          <w:sz w:val="20"/>
        </w:rPr>
        <w:t>Certified as a true and accurate record of the proceedings:</w:t>
      </w:r>
    </w:p>
    <w:p>
      <w:pPr>
        <w:spacing w:line="276" w:lineRule="auto" w:before="0" w:after="0"/>
      </w:pPr>
    </w:p>
    <w:p>
      <w:pPr>
        <w:keepNext/>
        <w:spacing w:line="276" w:lineRule="auto" w:before="320" w:after="40"/>
      </w:pPr>
      <w:r>
        <w:rPr>
          <w:rFonts w:ascii="Segoe UI" w:hAnsi="Segoe UI"/>
          <w:color w:val="CBD5E1"/>
          <w:sz w:val="20"/>
        </w:rPr>
        <w:t>_________________________________</w:t>
      </w:r>
    </w:p>
    <w:p>
      <w:pPr>
        <w:spacing w:line="276" w:lineRule="auto" w:before="40" w:after="240"/>
      </w:pPr>
      <w:r>
        <w:rPr>
          <w:rFonts w:ascii="Segoe UI" w:hAnsi="Segoe UI"/>
          <w:color w:val="0F172A"/>
          <w:sz w:val="20"/>
        </w:rPr>
        <w:t>Linh Vuong, Secretary Pro Tem, Thornfield Life Sciences Marketing, Inc.        Date: 10/24/2025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