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Segoe UI" w:hAnsi="Segoe UI"/>
          <w:b/>
          <w:color w:val="0D9488"/>
          <w:sz w:val="19"/>
        </w:rPr>
        <w:t>THORNFIELD LIFE SCIENCES MARKETING</w:t>
      </w:r>
    </w:p>
    <w:p>
      <w:pPr>
        <w:spacing w:before="0" w:after="280" w:line="276" w:lineRule="auto"/>
      </w:pPr>
      <w:r>
        <w:rPr>
          <w:rFonts w:ascii="Segoe UI" w:hAnsi="Segoe UI"/>
          <w:b/>
          <w:color w:val="0F4C81"/>
          <w:sz w:val="36"/>
        </w:rPr>
        <w:t>MEMO — Document Version-Control &amp; Approval Policy (v1)</w:t>
      </w:r>
    </w:p>
    <w:p>
      <w:pPr>
        <w:spacing w:before="0" w:after="240" w:line="40" w:lineRule="exact"/>
        <w:pBdr>
          <w:bottom w:val="single" w:sz="6" w:space="1" w:color="000000"/>
        </w:pBdr>
        <w:pBdr>
          <w:bottom w:val="single" w:sz="12" w:space="1" w:color="0F4C81"/>
        </w:pBdr>
      </w:pPr>
    </w:p>
    <w:tbl>
      <w:tblPr>
        <w:tblW w:type="auto" w:w="0"/>
        <w:jc w:val="center"/>
        <w:tblLayout w:type="fixed"/>
        <w:tblLook w:firstColumn="1" w:firstRow="1" w:lastColumn="0" w:lastRow="0" w:noHBand="0" w:noVBand="1" w:val="04A0"/>
      </w:tblPr>
      <w:tblGrid>
        <w:gridCol w:w="4680"/>
        <w:gridCol w:w="4680"/>
      </w:tblGrid>
      <w:tr>
        <w:trPr>
          <w:cantSplit/>
        </w:trPr>
        <w:tc>
          <w:tcPr>
            <w:tcW w:type="dxa" w:w="1296"/>
            <w:shd w:fill="F8FAFC"/>
            <w:tcMar>
              <w:top w:w="120" w:type="dxa"/>
              <w:bottom w:w="80" w:type="dxa"/>
              <w:left w:w="160" w:type="dxa"/>
              <w:right w:w="160" w:type="dxa"/>
            </w:tcMar>
            <w:tcBorders>
              <w:top w:val="single" w:sz="6" w:space="0" w:color="CBD5E1"/>
              <w:left w:val="single" w:sz="24" w:space="0" w:color="0F4C81"/>
              <w:bottom w:val="none"/>
              <w:right w:val="none"/>
            </w:tcBorders>
          </w:tcPr>
          <w:p>
            <w:pPr>
              <w:spacing w:before="0" w:after="40" w:line="276" w:lineRule="auto"/>
            </w:pPr>
            <w:r>
              <w:rPr>
                <w:rFonts w:ascii="Segoe UI" w:hAnsi="Segoe UI"/>
                <w:b/>
                <w:color w:val="0F4C81"/>
                <w:sz w:val="19"/>
              </w:rPr>
            </w:r>
            <w:r>
              <w:rPr>
                <w:rFonts w:ascii="Segoe UI" w:hAnsi="Segoe UI"/>
                <w:b/>
                <w:color w:val="0F4C81"/>
                <w:sz w:val="19"/>
              </w:rPr>
              <w:t>Date:</w:t>
            </w:r>
          </w:p>
        </w:tc>
        <w:tc>
          <w:tcPr>
            <w:tcW w:type="dxa" w:w="8352"/>
            <w:shd w:fill="F8FAFC"/>
            <w:tcMar>
              <w:top w:w="120" w:type="dxa"/>
              <w:bottom w:w="80" w:type="dxa"/>
              <w:left w:w="160" w:type="dxa"/>
              <w:right w:w="160" w:type="dxa"/>
            </w:tcMar>
            <w:tcBorders>
              <w:top w:val="single" w:sz="6" w:space="0" w:color="CBD5E1"/>
              <w:left w:val="none"/>
              <w:bottom w:val="none"/>
              <w:right w:val="single" w:sz="6" w:space="0" w:color="CBD5E1"/>
            </w:tcBorders>
          </w:tcPr>
          <w:p>
            <w:pPr>
              <w:spacing w:before="0" w:after="40" w:line="276" w:lineRule="auto"/>
            </w:pPr>
            <w:r>
              <w:rPr>
                <w:rFonts w:ascii="Segoe UI" w:hAnsi="Segoe UI"/>
                <w:color w:val="1E293B"/>
                <w:sz w:val="19"/>
              </w:rPr>
              <w:t>10/01/2025</w:t>
            </w:r>
          </w:p>
        </w:tc>
      </w:tr>
      <w:tr>
        <w:trPr>
          <w:cantSplit/>
        </w:trPr>
        <w:tc>
          <w:tcPr>
            <w:tcW w:type="dxa" w:w="1296"/>
            <w:shd w:fill="F8FAFC"/>
            <w:tcMar>
              <w:top w:w="80" w:type="dxa"/>
              <w:bottom w:w="80" w:type="dxa"/>
              <w:left w:w="160" w:type="dxa"/>
              <w:right w:w="160" w:type="dxa"/>
            </w:tcMar>
            <w:tcBorders>
              <w:top w:val="none"/>
              <w:left w:val="single" w:sz="24" w:space="0" w:color="0F4C81"/>
              <w:bottom w:val="none"/>
              <w:right w:val="none"/>
            </w:tcBorders>
          </w:tcPr>
          <w:p>
            <w:pPr>
              <w:spacing w:before="0" w:after="40" w:line="276" w:lineRule="auto"/>
            </w:pPr>
            <w:r>
              <w:rPr>
                <w:rFonts w:ascii="Segoe UI" w:hAnsi="Segoe UI"/>
                <w:b/>
                <w:color w:val="0F4C81"/>
                <w:sz w:val="19"/>
              </w:rPr>
            </w:r>
            <w:r>
              <w:rPr>
                <w:rFonts w:ascii="Segoe UI" w:hAnsi="Segoe UI"/>
                <w:b/>
                <w:color w:val="0F4C81"/>
                <w:sz w:val="19"/>
              </w:rPr>
              <w:t>From:</w:t>
            </w:r>
          </w:p>
        </w:tc>
        <w:tc>
          <w:tcPr>
            <w:tcW w:type="dxa" w:w="8352"/>
            <w:shd w:fill="F8FAFC"/>
            <w:tcMar>
              <w:top w:w="80" w:type="dxa"/>
              <w:bottom w:w="80" w:type="dxa"/>
              <w:left w:w="160" w:type="dxa"/>
              <w:right w:w="160" w:type="dxa"/>
            </w:tcMar>
            <w:tcBorders>
              <w:top w:val="none"/>
              <w:left w:val="none"/>
              <w:bottom w:val="none"/>
              <w:right w:val="single" w:sz="6" w:space="0" w:color="CBD5E1"/>
            </w:tcBorders>
          </w:tcPr>
          <w:p>
            <w:pPr>
              <w:spacing w:before="0" w:after="40" w:line="276" w:lineRule="auto"/>
            </w:pPr>
            <w:r>
              <w:rPr>
                <w:rFonts w:ascii="Segoe UI" w:hAnsi="Segoe UI"/>
                <w:color w:val="1E293B"/>
                <w:sz w:val="19"/>
              </w:rPr>
              <w:t>Owen Castellano, Creative Director</w:t>
            </w:r>
          </w:p>
        </w:tc>
      </w:tr>
      <w:tr>
        <w:trPr>
          <w:cantSplit/>
        </w:trPr>
        <w:tc>
          <w:tcPr>
            <w:tcW w:type="dxa" w:w="1296"/>
            <w:shd w:fill="F8FAFC"/>
            <w:tcMar>
              <w:top w:w="80" w:type="dxa"/>
              <w:bottom w:w="80" w:type="dxa"/>
              <w:left w:w="160" w:type="dxa"/>
              <w:right w:w="160" w:type="dxa"/>
            </w:tcMar>
            <w:tcBorders>
              <w:top w:val="none"/>
              <w:left w:val="single" w:sz="24" w:space="0" w:color="0F4C81"/>
              <w:bottom w:val="none"/>
              <w:right w:val="none"/>
            </w:tcBorders>
          </w:tcPr>
          <w:p>
            <w:pPr>
              <w:spacing w:before="0" w:after="40" w:line="276" w:lineRule="auto"/>
            </w:pPr>
            <w:r>
              <w:rPr>
                <w:rFonts w:ascii="Segoe UI" w:hAnsi="Segoe UI"/>
                <w:b/>
                <w:color w:val="0F4C81"/>
                <w:sz w:val="19"/>
              </w:rPr>
            </w:r>
            <w:r>
              <w:rPr>
                <w:rFonts w:ascii="Segoe UI" w:hAnsi="Segoe UI"/>
                <w:b/>
                <w:color w:val="0F4C81"/>
                <w:sz w:val="19"/>
              </w:rPr>
              <w:t>To:</w:t>
            </w:r>
          </w:p>
        </w:tc>
        <w:tc>
          <w:tcPr>
            <w:tcW w:type="dxa" w:w="8352"/>
            <w:shd w:fill="F8FAFC"/>
            <w:tcMar>
              <w:top w:w="80" w:type="dxa"/>
              <w:bottom w:w="80" w:type="dxa"/>
              <w:left w:w="160" w:type="dxa"/>
              <w:right w:w="160" w:type="dxa"/>
            </w:tcMar>
            <w:tcBorders>
              <w:top w:val="none"/>
              <w:left w:val="none"/>
              <w:bottom w:val="none"/>
              <w:right w:val="single" w:sz="6" w:space="0" w:color="CBD5E1"/>
            </w:tcBorders>
          </w:tcPr>
          <w:p>
            <w:pPr>
              <w:spacing w:before="0" w:after="40" w:line="276" w:lineRule="auto"/>
            </w:pPr>
            <w:r>
              <w:rPr>
                <w:rFonts w:ascii="Segoe UI" w:hAnsi="Segoe UI"/>
                <w:color w:val="1E293B"/>
                <w:sz w:val="19"/>
              </w:rPr>
              <w:t>Creative Team; Account Leads; Client Services; Marketing Operations</w:t>
            </w:r>
          </w:p>
        </w:tc>
      </w:tr>
      <w:tr>
        <w:trPr>
          <w:cantSplit/>
        </w:trPr>
        <w:tc>
          <w:tcPr>
            <w:tcW w:type="dxa" w:w="1296"/>
            <w:shd w:fill="F8FAFC"/>
            <w:tcMar>
              <w:top w:w="80" w:type="dxa"/>
              <w:bottom w:w="120" w:type="dxa"/>
              <w:left w:w="160" w:type="dxa"/>
              <w:right w:w="160" w:type="dxa"/>
            </w:tcMar>
            <w:tcBorders>
              <w:top w:val="none"/>
              <w:left w:val="single" w:sz="24" w:space="0" w:color="0F4C81"/>
              <w:bottom w:val="single" w:sz="6" w:space="0" w:color="CBD5E1"/>
              <w:right w:val="none"/>
            </w:tcBorders>
          </w:tcPr>
          <w:p>
            <w:pPr>
              <w:spacing w:before="0" w:after="40" w:line="276" w:lineRule="auto"/>
            </w:pPr>
            <w:r>
              <w:rPr>
                <w:rFonts w:ascii="Segoe UI" w:hAnsi="Segoe UI"/>
                <w:b/>
                <w:color w:val="0F4C81"/>
                <w:sz w:val="19"/>
              </w:rPr>
            </w:r>
            <w:r>
              <w:rPr>
                <w:rFonts w:ascii="Segoe UI" w:hAnsi="Segoe UI"/>
                <w:b/>
                <w:color w:val="0F4C81"/>
                <w:sz w:val="19"/>
              </w:rPr>
              <w:t>Re:</w:t>
            </w:r>
          </w:p>
        </w:tc>
        <w:tc>
          <w:tcPr>
            <w:tcW w:type="dxa" w:w="8352"/>
            <w:shd w:fill="F8FAFC"/>
            <w:tcMar>
              <w:top w:w="80" w:type="dxa"/>
              <w:bottom w:w="120" w:type="dxa"/>
              <w:left w:w="160" w:type="dxa"/>
              <w:right w:w="160" w:type="dxa"/>
            </w:tcMar>
            <w:tcBorders>
              <w:top w:val="none"/>
              <w:left w:val="none"/>
              <w:bottom w:val="single" w:sz="6" w:space="0" w:color="CBD5E1"/>
              <w:right w:val="single" w:sz="6" w:space="0" w:color="CBD5E1"/>
            </w:tcBorders>
          </w:tcPr>
          <w:p>
            <w:pPr>
              <w:spacing w:before="0" w:after="40" w:line="276" w:lineRule="auto"/>
            </w:pPr>
            <w:r>
              <w:rPr>
                <w:rFonts w:ascii="Segoe UI" w:hAnsi="Segoe UI"/>
                <w:color w:val="1E293B"/>
                <w:sz w:val="19"/>
              </w:rPr>
              <w:t>Document Version-Control &amp; Approval Policy (Creative Deliverables)</w:t>
            </w:r>
          </w:p>
        </w:tc>
      </w:tr>
    </w:tbl>
    <w:p>
      <w:pPr>
        <w:spacing w:before="0" w:after="0" w:line="20" w:lineRule="exact"/>
      </w:pPr>
      <w:r>
        <w:rPr>
          <w:rFonts w:ascii="Segoe UI" w:hAnsi="Segoe UI"/>
          <w:b/>
          <w:color w:val="1E293B"/>
          <w:sz w:val="2"/>
        </w:rPr>
      </w:r>
      <w:r>
        <w:rPr>
          <w:rFonts w:ascii="Segoe UI" w:hAnsi="Segoe UI"/>
          <w:color w:val="1E293B"/>
          <w:sz w:val="2"/>
        </w:rPr>
      </w:r>
    </w:p>
    <w:p>
      <w:pPr>
        <w:spacing w:before="0" w:after="0" w:line="20" w:lineRule="exact"/>
      </w:pPr>
      <w:r>
        <w:rPr>
          <w:rFonts w:ascii="Segoe UI" w:hAnsi="Segoe UI"/>
          <w:b/>
          <w:color w:val="1E293B"/>
          <w:sz w:val="2"/>
        </w:rPr>
      </w:r>
      <w:r>
        <w:rPr>
          <w:rFonts w:ascii="Segoe UI" w:hAnsi="Segoe UI"/>
          <w:color w:val="1E293B"/>
          <w:sz w:val="2"/>
        </w:rPr>
      </w:r>
    </w:p>
    <w:p>
      <w:pPr>
        <w:spacing w:before="0" w:after="0" w:line="20" w:lineRule="exact"/>
      </w:pPr>
      <w:r>
        <w:rPr>
          <w:rFonts w:ascii="Segoe UI" w:hAnsi="Segoe UI"/>
          <w:b/>
          <w:color w:val="1E293B"/>
          <w:sz w:val="2"/>
        </w:rPr>
      </w:r>
      <w:r>
        <w:rPr>
          <w:rFonts w:ascii="Segoe UI" w:hAnsi="Segoe UI"/>
          <w:color w:val="1E293B"/>
          <w:sz w:val="2"/>
        </w:rPr>
      </w:r>
    </w:p>
    <w:p>
      <w:pPr>
        <w:spacing w:before="0" w:after="0" w:line="20" w:lineRule="exact"/>
      </w:pPr>
      <w:r>
        <w:rPr>
          <w:rFonts w:ascii="Segoe UI" w:hAnsi="Segoe UI"/>
          <w:b/>
          <w:color w:val="1E293B"/>
          <w:sz w:val="2"/>
        </w:rPr>
      </w:r>
      <w:r>
        <w:rPr>
          <w:rFonts w:ascii="Segoe UI" w:hAnsi="Segoe UI"/>
          <w:color w:val="1E293B"/>
          <w:sz w:val="2"/>
        </w:rPr>
      </w:r>
    </w:p>
    <w:p>
      <w:pPr>
        <w:spacing w:before="0" w:after="0" w:line="20" w:lineRule="exact"/>
      </w:pPr>
      <w:r>
        <w:rPr>
          <w:rFonts w:ascii="Segoe UI" w:hAnsi="Segoe UI"/>
          <w:b/>
          <w:color w:val="1E293B"/>
          <w:sz w:val="2"/>
        </w:rPr>
      </w:r>
      <w:r>
        <w:rPr>
          <w:rFonts w:ascii="Segoe UI" w:hAnsi="Segoe UI"/>
          <w:color w:val="1E293B"/>
          <w:sz w:val="2"/>
        </w:rPr>
      </w:r>
    </w:p>
    <w:p>
      <w:pPr>
        <w:spacing w:before="240" w:after="240" w:line="40" w:lineRule="exact"/>
        <w:pBdr>
          <w:bottom w:val="single" w:sz="6" w:space="1" w:color="000000"/>
        </w:pBdr>
      </w:pPr>
    </w:p>
    <w:p>
      <w:pPr>
        <w:keepNext/>
        <w:spacing w:before="360" w:after="120"/>
        <w:pBdr>
          <w:bottom w:val="single" w:sz="6" w:space="3" w:color="0D9488"/>
        </w:pBdr>
      </w:pPr>
      <w:r>
        <w:rPr>
          <w:rFonts w:ascii="Segoe UI" w:hAnsi="Segoe UI"/>
          <w:b/>
          <w:color w:val="0F4C81"/>
          <w:sz w:val="26"/>
        </w:rPr>
        <w:t>1. Purpose</w:t>
      </w:r>
    </w:p>
    <w:p>
      <w:pPr>
        <w:spacing w:before="0" w:after="160" w:line="300" w:lineRule="auto"/>
      </w:pPr>
      <w:r>
        <w:rPr>
          <w:rFonts w:ascii="Segoe UI" w:hAnsi="Segoe UI"/>
          <w:color w:val="1E293B"/>
          <w:sz w:val="20"/>
        </w:rPr>
        <w:t>This policy establishes the single authoritative version for creative deliverables produced by the Thornfield Creative team — including creative briefs, campaign assets, storyboards, ad copy, and comparable client-facing outputs. Its intent is to eliminate ambiguity when multiple drafts, revisions, or “final” copies of the same deliverable are in circulation, and to make it clear to every teammate — and to Account, Compliance, and Client Services partners — where to look to confirm what is approved for use.</w:t>
      </w:r>
    </w:p>
    <w:p>
      <w:pPr>
        <w:spacing w:before="120" w:after="240" w:line="300" w:lineRule="auto"/>
        <w:ind w:left="288" w:right="288"/>
        <w:pBdr>
          <w:left w:val="single" w:sz="18" w:space="10" w:color="0D9488"/>
        </w:pBdr>
        <w:shd w:fill="F1F5F9"/>
      </w:pPr>
      <w:r>
        <w:rPr>
          <w:rFonts w:ascii="Segoe UI" w:hAnsi="Segoe UI"/>
          <w:i/>
          <w:color w:val="1E293B"/>
          <w:sz w:val="19"/>
        </w:rPr>
        <w:t>We’ve had enough near-misses this year with files named things like “Brief_FINAL”, “Brief_FINAL_v2”, and “Brief_FINAL_FINAL” sitting alongside each other in email threads and shared folders. This memo is the fix.</w:t>
      </w:r>
    </w:p>
    <w:p>
      <w:pPr>
        <w:keepNext/>
        <w:spacing w:before="400" w:after="120"/>
        <w:pBdr>
          <w:bottom w:val="single" w:sz="6" w:space="3" w:color="0D9488"/>
        </w:pBdr>
      </w:pPr>
      <w:r>
        <w:rPr>
          <w:rFonts w:ascii="Segoe UI" w:hAnsi="Segoe UI"/>
          <w:b/>
          <w:color w:val="0F4C81"/>
          <w:sz w:val="26"/>
        </w:rPr>
        <w:t>2. Governing Rule</w:t>
      </w:r>
    </w:p>
    <w:p>
      <w:pPr>
        <w:spacing w:after="160" w:before="0" w:line="300" w:lineRule="auto"/>
      </w:pPr>
      <w:r>
        <w:rPr>
          <w:rFonts w:ascii="Segoe UI" w:hAnsi="Segoe UI"/>
          <w:b w:val="0"/>
          <w:color w:val="1E293B"/>
          <w:sz w:val="20"/>
        </w:rPr>
        <w:t xml:space="preserve">The </w:t>
      </w:r>
      <w:r>
        <w:rPr>
          <w:rFonts w:ascii="Segoe UI" w:hAnsi="Segoe UI"/>
          <w:b/>
          <w:color w:val="0F4C81"/>
          <w:sz w:val="20"/>
        </w:rPr>
        <w:t>approval status recorded in the doc-control log</w:t>
      </w:r>
      <w:r>
        <w:rPr>
          <w:rFonts w:ascii="Segoe UI" w:hAnsi="Segoe UI"/>
          <w:b w:val="0"/>
          <w:color w:val="1E293B"/>
          <w:sz w:val="20"/>
        </w:rPr>
        <w:t xml:space="preserve"> (see /Creative/DocControl/creative_brief_doc_control_log.xlsx) is the </w:t>
      </w:r>
      <w:r>
        <w:rPr>
          <w:rFonts w:ascii="Segoe UI" w:hAnsi="Segoe UI"/>
          <w:b/>
          <w:color w:val="0F4C81"/>
          <w:sz w:val="20"/>
        </w:rPr>
        <w:t>ONLY authoritative signal</w:t>
      </w:r>
      <w:r>
        <w:rPr>
          <w:rFonts w:ascii="Segoe UI" w:hAnsi="Segoe UI"/>
          <w:b w:val="0"/>
          <w:color w:val="1E293B"/>
          <w:sz w:val="20"/>
        </w:rPr>
        <w:t xml:space="preserve"> of which version of a creative brief, campaign asset, or comparable deliverable is approved for use.</w:t>
      </w:r>
    </w:p>
    <w:p>
      <w:pPr>
        <w:spacing w:after="160" w:before="0" w:line="300" w:lineRule="auto"/>
      </w:pPr>
      <w:r>
        <w:rPr>
          <w:rFonts w:ascii="Segoe UI" w:hAnsi="Segoe UI"/>
          <w:b w:val="0"/>
          <w:color w:val="1E293B"/>
          <w:sz w:val="20"/>
        </w:rPr>
        <w:t xml:space="preserve">Filename conventions (e.g., FINAL, FINAL_v2, LATEST, APPROVED, USE_THIS_ONE) and file modification dates </w:t>
      </w:r>
      <w:r>
        <w:rPr>
          <w:rFonts w:ascii="Segoe UI" w:hAnsi="Segoe UI"/>
          <w:b/>
          <w:color w:val="0F4C81"/>
          <w:sz w:val="20"/>
        </w:rPr>
        <w:t>ARE NOT authoritative</w:t>
      </w:r>
      <w:r>
        <w:rPr>
          <w:rFonts w:ascii="Segoe UI" w:hAnsi="Segoe UI"/>
          <w:b w:val="0"/>
          <w:color w:val="1E293B"/>
          <w:sz w:val="20"/>
        </w:rPr>
        <w:t xml:space="preserve">. A version emailed after the approval date, or a filename that reads as final, does </w:t>
      </w:r>
      <w:r>
        <w:rPr>
          <w:rFonts w:ascii="Segoe UI" w:hAnsi="Segoe UI"/>
          <w:b/>
          <w:color w:val="0F4C81"/>
          <w:sz w:val="20"/>
        </w:rPr>
        <w:t>NOT</w:t>
      </w:r>
      <w:r>
        <w:rPr>
          <w:rFonts w:ascii="Segoe UI" w:hAnsi="Segoe UI"/>
          <w:b w:val="0"/>
          <w:color w:val="1E293B"/>
          <w:sz w:val="20"/>
        </w:rPr>
        <w:t xml:space="preserve"> constitute approval unless logged.</w:t>
      </w:r>
    </w:p>
    <w:p>
      <w:pPr>
        <w:keepNext/>
        <w:spacing w:before="160" w:after="80"/>
      </w:pPr>
      <w:r>
        <w:rPr>
          <w:rFonts w:ascii="Segoe UI" w:hAnsi="Segoe UI"/>
          <w:b/>
          <w:color w:val="0F4C81"/>
          <w:sz w:val="20"/>
        </w:rPr>
        <w:t>In practical terms:</w:t>
      </w:r>
    </w:p>
    <w:p>
      <w:pPr>
        <w:pStyle w:val="ListBullet"/>
        <w:spacing w:before="0" w:after="80" w:line="288" w:lineRule="auto"/>
        <w:ind w:left="504" w:hanging="288"/>
      </w:pPr>
      <w:r>
        <w:rPr>
          <w:rFonts w:ascii="Segoe UI" w:hAnsi="Segoe UI"/>
          <w:color w:val="1E293B"/>
          <w:sz w:val="20"/>
        </w:rPr>
        <w:t>If it is not in the doc-control log with an approval date and an approver initial, it is not approved.</w:t>
      </w:r>
    </w:p>
    <w:p>
      <w:pPr>
        <w:pStyle w:val="ListBullet"/>
        <w:spacing w:before="0" w:after="80" w:line="288" w:lineRule="auto"/>
        <w:ind w:left="504" w:hanging="288"/>
      </w:pPr>
      <w:r>
        <w:rPr>
          <w:rFonts w:ascii="Segoe UI" w:hAnsi="Segoe UI"/>
          <w:color w:val="1E293B"/>
          <w:sz w:val="20"/>
        </w:rPr>
        <w:t>The most recent file in a folder, mailbox, or chat thread is not automatically the approved one.</w:t>
      </w:r>
    </w:p>
    <w:p>
      <w:pPr>
        <w:pStyle w:val="ListBullet"/>
        <w:spacing w:before="0" w:after="80" w:line="288" w:lineRule="auto"/>
        <w:ind w:left="504" w:hanging="288"/>
      </w:pPr>
      <w:r>
        <w:rPr>
          <w:rFonts w:ascii="Segoe UI" w:hAnsi="Segoe UI"/>
          <w:color w:val="1E293B"/>
          <w:sz w:val="20"/>
        </w:rPr>
        <w:t>A filename that includes the word “FINAL” carries no procedural weight. It is a naming convention, not a governance signal.</w:t>
      </w:r>
    </w:p>
    <w:p>
      <w:pPr>
        <w:pStyle w:val="ListBullet"/>
        <w:spacing w:before="0" w:after="80" w:line="288" w:lineRule="auto"/>
        <w:ind w:left="504" w:hanging="288"/>
      </w:pPr>
      <w:r>
        <w:rPr>
          <w:rFonts w:ascii="Segoe UI" w:hAnsi="Segoe UI"/>
          <w:color w:val="1E293B"/>
          <w:sz w:val="20"/>
        </w:rPr>
        <w:t>If you are about to send a creative deliverable to a client, to media, or to production, your first check is the log — not the filename, not the timestamp, and not what somebody said in a chat message.</w:t>
      </w:r>
    </w:p>
    <w:p>
      <w:pPr>
        <w:spacing w:before="120" w:after="240" w:line="300" w:lineRule="auto"/>
      </w:pPr>
      <w:r>
        <w:rPr>
          <w:rFonts w:ascii="Segoe UI" w:hAnsi="Segoe UI"/>
          <w:color w:val="1E293B"/>
          <w:sz w:val="20"/>
        </w:rPr>
        <w:t>Anyone who is unsure which version is authoritative should open the log before circulating, sharing, or shipping the asset. If the log entry is ambiguous, escalate to me before the deliverable moves.</w:t>
      </w:r>
    </w:p>
    <w:p>
      <w:pPr>
        <w:keepNext/>
        <w:spacing w:before="400" w:after="120"/>
        <w:pBdr>
          <w:bottom w:val="single" w:sz="6" w:space="3" w:color="0D9488"/>
        </w:pBdr>
      </w:pPr>
      <w:r>
        <w:rPr>
          <w:rFonts w:ascii="Segoe UI" w:hAnsi="Segoe UI"/>
          <w:b/>
          <w:color w:val="0F4C81"/>
          <w:sz w:val="26"/>
        </w:rPr>
        <w:t>3. Change Control</w:t>
      </w:r>
    </w:p>
    <w:p>
      <w:pPr>
        <w:spacing w:before="0" w:after="160" w:line="300" w:lineRule="auto"/>
      </w:pPr>
      <w:r>
        <w:rPr>
          <w:rFonts w:ascii="Segoe UI" w:hAnsi="Segoe UI"/>
          <w:color w:val="1E293B"/>
          <w:sz w:val="20"/>
        </w:rPr>
        <w:t>Once a version has been logged as approved, any revision — however minor, and regardless of whether it originates from Creative, Account, the client, or Compliance — requires:</w:t>
      </w:r>
    </w:p>
    <w:p>
      <w:pPr>
        <w:spacing w:before="0" w:after="120" w:line="300" w:lineRule="auto"/>
        <w:ind w:left="432" w:hanging="288"/>
      </w:pPr>
      <w:r>
        <w:rPr>
          <w:rFonts w:ascii="Segoe UI" w:hAnsi="Segoe UI"/>
          <w:color w:val="1E293B"/>
          <w:sz w:val="20"/>
        </w:rPr>
        <w:t xml:space="preserve">1. </w:t>
      </w:r>
      <w:r>
        <w:rPr>
          <w:rFonts w:ascii="Segoe UI" w:hAnsi="Segoe UI"/>
          <w:b/>
          <w:color w:val="0F4C81"/>
          <w:sz w:val="20"/>
        </w:rPr>
        <w:t>Re-submission</w:t>
      </w:r>
      <w:r>
        <w:rPr>
          <w:rFonts w:ascii="Segoe UI" w:hAnsi="Segoe UI"/>
          <w:color w:val="1E293B"/>
          <w:sz w:val="20"/>
        </w:rPr>
        <w:t xml:space="preserve"> of the revised version through the standard review path, including any compliance or claims review required under the Compliance Reserve &amp; Claims-Review Policy (the Compliance Reserve &amp; Claims-Review Policy, 09/15/2025) when the revision touches a regulated-client deliverable or adds a substantive claim.</w:t>
      </w:r>
    </w:p>
    <w:p>
      <w:pPr>
        <w:spacing w:before="0" w:after="120" w:line="300" w:lineRule="auto"/>
        <w:ind w:left="432" w:hanging="288"/>
      </w:pPr>
      <w:r>
        <w:rPr>
          <w:rFonts w:ascii="Segoe UI" w:hAnsi="Segoe UI"/>
          <w:color w:val="1E293B"/>
          <w:sz w:val="20"/>
        </w:rPr>
        <w:t xml:space="preserve">2. </w:t>
      </w:r>
      <w:r>
        <w:rPr>
          <w:rFonts w:ascii="Segoe UI" w:hAnsi="Segoe UI"/>
          <w:b/>
          <w:color w:val="0F4C81"/>
          <w:sz w:val="20"/>
        </w:rPr>
        <w:t>A new log entry</w:t>
      </w:r>
      <w:r>
        <w:rPr>
          <w:rFonts w:ascii="Segoe UI" w:hAnsi="Segoe UI"/>
          <w:color w:val="1E293B"/>
          <w:sz w:val="20"/>
        </w:rPr>
        <w:t xml:space="preserve"> in the doc-control log capturing the new version identifier, the change summary, the reviewer(s), and the new approval date. The prior entry remains in the log for audit history and is not overwritten.</w:t>
      </w:r>
    </w:p>
    <w:p>
      <w:pPr>
        <w:spacing w:before="0" w:after="120" w:line="300" w:lineRule="auto"/>
        <w:ind w:left="432" w:hanging="288"/>
      </w:pPr>
      <w:r>
        <w:rPr>
          <w:rFonts w:ascii="Segoe UI" w:hAnsi="Segoe UI"/>
          <w:color w:val="1E293B"/>
          <w:sz w:val="20"/>
        </w:rPr>
        <w:t xml:space="preserve">3. </w:t>
      </w:r>
      <w:r>
        <w:rPr>
          <w:rFonts w:ascii="Segoe UI" w:hAnsi="Segoe UI"/>
          <w:b/>
          <w:color w:val="0F4C81"/>
          <w:sz w:val="20"/>
        </w:rPr>
        <w:t>No shipment of the revised version</w:t>
      </w:r>
      <w:r>
        <w:rPr>
          <w:rFonts w:ascii="Segoe UI" w:hAnsi="Segoe UI"/>
          <w:color w:val="1E293B"/>
          <w:sz w:val="20"/>
        </w:rPr>
        <w:t xml:space="preserve"> until the new log entry is complete. Editing an approved file in place, re-saving it under a new “FINAL” filename, or emailing it around does not update the approval status.</w:t>
      </w:r>
    </w:p>
    <w:p>
      <w:pPr>
        <w:spacing w:before="120" w:after="240" w:line="300" w:lineRule="auto"/>
      </w:pPr>
      <w:r>
        <w:rPr>
          <w:rFonts w:ascii="Segoe UI" w:hAnsi="Segoe UI"/>
          <w:color w:val="1E293B"/>
          <w:sz w:val="20"/>
        </w:rPr>
        <w:t>If a revision is time-sensitive and needs a fast path, contact me or my delegate directly to expedite the log entry. Do not skip the log.</w:t>
      </w:r>
    </w:p>
    <w:p>
      <w:pPr>
        <w:keepNext/>
        <w:spacing w:before="400" w:after="120"/>
        <w:pBdr>
          <w:bottom w:val="single" w:sz="6" w:space="3" w:color="0D9488"/>
        </w:pBdr>
      </w:pPr>
      <w:r>
        <w:rPr>
          <w:rFonts w:ascii="Segoe UI" w:hAnsi="Segoe UI"/>
          <w:b/>
          <w:color w:val="0F4C81"/>
          <w:sz w:val="26"/>
        </w:rPr>
        <w:t>4. Sign-Off</w:t>
      </w:r>
    </w:p>
    <w:p>
      <w:pPr>
        <w:spacing w:before="0" w:after="280"/>
      </w:pPr>
      <w:r>
        <w:rPr>
          <w:rFonts w:ascii="Segoe UI" w:hAnsi="Segoe UI"/>
          <w:color w:val="1E293B"/>
          <w:sz w:val="20"/>
        </w:rPr>
        <w:t>Approved and issued 10/01/2025.</w:t>
      </w:r>
    </w:p>
    <w:p>
      <w:pPr>
        <w:keepNext/>
        <w:spacing w:before="240" w:after="80"/>
      </w:pPr>
      <w:r>
        <w:rPr>
          <w:rFonts w:ascii="Segoe UI" w:hAnsi="Segoe UI"/>
          <w:color w:val="64748B"/>
          <w:sz w:val="20"/>
        </w:rPr>
        <w:t>________________________________</w:t>
      </w:r>
    </w:p>
    <w:p>
      <w:pPr>
        <w:keepNext/>
        <w:spacing w:before="0" w:after="40"/>
      </w:pPr>
      <w:r>
        <w:rPr>
          <w:rFonts w:ascii="Segoe UI" w:hAnsi="Segoe UI"/>
          <w:b/>
          <w:color w:val="0F4C81"/>
          <w:sz w:val="21"/>
        </w:rPr>
        <w:t>Owen Castellano</w:t>
      </w:r>
    </w:p>
    <w:p>
      <w:pPr>
        <w:keepNext/>
        <w:spacing w:before="0" w:after="40"/>
      </w:pPr>
      <w:r>
        <w:rPr>
          <w:rFonts w:ascii="Segoe UI" w:hAnsi="Segoe UI"/>
          <w:color w:val="1E293B"/>
          <w:sz w:val="19"/>
        </w:rPr>
        <w:t>Creative Director</w:t>
      </w:r>
    </w:p>
    <w:p>
      <w:pPr>
        <w:keepNext/>
        <w:spacing w:before="0" w:after="40"/>
      </w:pPr>
      <w:r>
        <w:rPr>
          <w:rFonts w:ascii="Segoe UI" w:hAnsi="Segoe UI"/>
          <w:color w:val="1E293B"/>
          <w:sz w:val="19"/>
        </w:rPr>
        <w:t>Thornfield Life Sciences Marketing, Inc.</w:t>
      </w:r>
    </w:p>
    <w:p>
      <w:pPr>
        <w:keepNext/>
        <w:spacing w:before="0" w:after="400"/>
      </w:pPr>
      <w:r>
        <w:rPr>
          <w:rFonts w:ascii="Segoe UI" w:hAnsi="Segoe UI"/>
          <w:color w:val="0D9488"/>
          <w:sz w:val="19"/>
        </w:rPr>
        <w:t>owen.castellano@thornfieldlsm.com</w:t>
      </w:r>
    </w:p>
    <w:p>
      <w:pPr>
        <w:spacing w:before="280" w:after="0" w:line="276" w:lineRule="auto"/>
        <w:ind w:left="216" w:right="216"/>
        <w:pBdr>
          <w:top w:val="single" w:sz="4" w:space="8" w:color="CBD5E1"/>
        </w:pBdr>
        <w:shd w:fill="F8FAFC"/>
      </w:pPr>
      <w:r>
        <w:rPr>
          <w:rFonts w:ascii="Segoe UI" w:hAnsi="Segoe UI"/>
          <w:i/>
          <w:color w:val="64748B"/>
          <w:sz w:val="17"/>
        </w:rPr>
        <w:t>Effective date: 10/01/2025. Supersedes any prior informal versioning conventions in use by Creative. Questions on interpretation should be directed to the Creative Director.</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