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8" w:lineRule="auto" w:before="0"/>
      </w:pPr>
      <w:r>
        <w:rPr>
          <w:rFonts w:ascii="Segoe UI" w:hAnsi="Segoe UI"/>
          <w:b/>
          <w:i w:val="0"/>
          <w:color w:val="0B4F6C"/>
          <w:sz w:val="19"/>
          <w:spacing w:val="24"/>
        </w:rPr>
        <w:t>THORNFIELD LIFE SCIENCES MARKETING</w:t>
      </w:r>
    </w:p>
    <w:p>
      <w:pPr>
        <w:spacing w:after="200" w:line="288" w:lineRule="auto" w:before="40"/>
      </w:pPr>
      <w:r>
        <w:rPr>
          <w:rFonts w:ascii="Segoe UI" w:hAnsi="Segoe UI"/>
          <w:b/>
          <w:i w:val="0"/>
          <w:color w:val="0A2540"/>
          <w:sz w:val="36"/>
        </w:rPr>
        <w:t>MEMO — FY2025 Combined P&amp;L Proration Methodology (v1)</w:t>
      </w:r>
    </w:p>
    <w:tbl>
      <w:tblPr>
        <w:tblW w:type="auto" w:w="0"/>
        <w:jc w:val="center"/>
        <w:tblLayout w:type="fixed"/>
        <w:tblLook w:firstColumn="1" w:firstRow="1" w:lastColumn="0" w:lastRow="0" w:noHBand="0" w:noVBand="1" w:val="04A0"/>
      </w:tblPr>
      <w:tblGrid>
        <w:gridCol w:w="4680"/>
        <w:gridCol w:w="4680"/>
      </w:tblGrid>
      <w:tr>
        <w:trPr>
          <w:cantSplit/>
        </w:trPr>
        <w:tc>
          <w:tcPr>
            <w:tcW w:type="dxa" w:w="1296"/>
            <w:shd w:fill="F8FAFC"/>
            <w:tcMar>
              <w:top w:w="100" w:type="dxa"/>
              <w:bottom w:w="100" w:type="dxa"/>
              <w:left w:w="160" w:type="dxa"/>
              <w:right w:w="160" w:type="dxa"/>
            </w:tcMar>
            <w:tcBorders>
              <w:top w:val="single" w:sz="18" w:space="0" w:color="0B4F6C"/>
              <w:bottom w:val="none"/>
              <w:left w:val="single" w:sz="18" w:space="0" w:color="0B4F6C"/>
              <w:right w:val="none"/>
            </w:tcBorders>
          </w:tcPr>
          <w:p>
            <w:pPr>
              <w:spacing w:before="0" w:after="0" w:line="276" w:lineRule="auto"/>
            </w:pPr>
            <w:r>
              <w:rPr>
                <w:rFonts w:ascii="Segoe UI" w:hAnsi="Segoe UI"/>
                <w:b/>
                <w:color w:val="0B4F6C"/>
                <w:sz w:val="19"/>
              </w:rPr>
            </w:r>
            <w:r>
              <w:rPr>
                <w:rFonts w:ascii="Segoe UI" w:hAnsi="Segoe UI"/>
                <w:b/>
                <w:color w:val="0B4F6C"/>
                <w:sz w:val="19"/>
              </w:rPr>
              <w:t>Date:</w:t>
            </w:r>
          </w:p>
        </w:tc>
        <w:tc>
          <w:tcPr>
            <w:tcW w:type="dxa" w:w="8496"/>
            <w:shd w:fill="F8FAFC"/>
            <w:tcMar>
              <w:top w:w="100" w:type="dxa"/>
              <w:bottom w:w="100" w:type="dxa"/>
              <w:left w:w="160" w:type="dxa"/>
              <w:right w:w="160" w:type="dxa"/>
            </w:tcMar>
            <w:tcBorders>
              <w:top w:val="single" w:sz="4" w:space="0" w:color="E2E8F0"/>
              <w:bottom w:val="none"/>
              <w:left w:val="none"/>
              <w:right w:val="none"/>
            </w:tcBorders>
          </w:tcPr>
          <w:p>
            <w:pPr>
              <w:spacing w:before="0" w:after="0" w:line="276" w:lineRule="auto"/>
            </w:pPr>
            <w:r>
              <w:rPr>
                <w:rFonts w:ascii="Segoe UI" w:hAnsi="Segoe UI"/>
                <w:color w:val="1E293B"/>
                <w:sz w:val="19"/>
              </w:rPr>
            </w:r>
            <w:r>
              <w:rPr>
                <w:rFonts w:ascii="Segoe UI" w:hAnsi="Segoe UI"/>
                <w:color w:val="1E293B"/>
                <w:sz w:val="19"/>
              </w:rPr>
              <w:t>08/20/2025</w:t>
            </w:r>
          </w:p>
        </w:tc>
      </w:tr>
      <w:tr>
        <w:trPr>
          <w:cantSplit/>
        </w:trPr>
        <w:tc>
          <w:tcPr>
            <w:tcW w:type="dxa" w:w="1296"/>
            <w:shd w:fill="F8FAFC"/>
            <w:tcMar>
              <w:top w:w="100" w:type="dxa"/>
              <w:bottom w:w="100" w:type="dxa"/>
              <w:left w:w="160" w:type="dxa"/>
              <w:right w:w="160" w:type="dxa"/>
            </w:tcMar>
            <w:tcBorders>
              <w:top w:val="single" w:sz="18" w:space="0" w:color="0B4F6C"/>
              <w:bottom w:val="none"/>
              <w:left w:val="single" w:sz="18" w:space="0" w:color="0B4F6C"/>
              <w:right w:val="none"/>
            </w:tcBorders>
          </w:tcPr>
          <w:p>
            <w:pPr>
              <w:spacing w:before="0" w:after="0" w:line="276" w:lineRule="auto"/>
            </w:pPr>
            <w:r>
              <w:rPr>
                <w:rFonts w:ascii="Segoe UI" w:hAnsi="Segoe UI"/>
                <w:b/>
                <w:color w:val="0B4F6C"/>
                <w:sz w:val="19"/>
              </w:rPr>
            </w:r>
            <w:r>
              <w:rPr>
                <w:rFonts w:ascii="Segoe UI" w:hAnsi="Segoe UI"/>
                <w:b/>
                <w:color w:val="0B4F6C"/>
                <w:sz w:val="19"/>
              </w:rPr>
              <w:t>From:</w:t>
            </w:r>
          </w:p>
        </w:tc>
        <w:tc>
          <w:tcPr>
            <w:tcW w:type="dxa" w:w="8496"/>
            <w:shd w:fill="F8FAFC"/>
            <w:tcMar>
              <w:top w:w="100" w:type="dxa"/>
              <w:bottom w:w="100" w:type="dxa"/>
              <w:left w:w="160" w:type="dxa"/>
              <w:right w:w="160" w:type="dxa"/>
            </w:tcMar>
            <w:tcBorders>
              <w:top w:val="single" w:sz="4" w:space="0" w:color="E2E8F0"/>
              <w:bottom w:val="none"/>
              <w:left w:val="none"/>
              <w:right w:val="none"/>
            </w:tcBorders>
          </w:tcPr>
          <w:p>
            <w:pPr>
              <w:spacing w:before="0" w:after="0" w:line="276" w:lineRule="auto"/>
            </w:pPr>
            <w:r>
              <w:rPr>
                <w:rFonts w:ascii="Segoe UI" w:hAnsi="Segoe UI"/>
                <w:color w:val="1E293B"/>
                <w:sz w:val="19"/>
              </w:rPr>
            </w:r>
            <w:r>
              <w:rPr>
                <w:rFonts w:ascii="Segoe UI" w:hAnsi="Segoe UI"/>
                <w:color w:val="1E293B"/>
                <w:sz w:val="19"/>
              </w:rPr>
              <w:t>Alan Rutherford, Finance Director</w:t>
            </w:r>
          </w:p>
        </w:tc>
      </w:tr>
      <w:tr>
        <w:trPr>
          <w:cantSplit/>
        </w:trPr>
        <w:tc>
          <w:tcPr>
            <w:tcW w:type="dxa" w:w="1296"/>
            <w:shd w:fill="F8FAFC"/>
            <w:tcMar>
              <w:top w:w="100" w:type="dxa"/>
              <w:bottom w:w="100" w:type="dxa"/>
              <w:left w:w="160" w:type="dxa"/>
              <w:right w:w="160" w:type="dxa"/>
            </w:tcMar>
            <w:tcBorders>
              <w:top w:val="single" w:sz="18" w:space="0" w:color="0B4F6C"/>
              <w:bottom w:val="none"/>
              <w:left w:val="single" w:sz="18" w:space="0" w:color="0B4F6C"/>
              <w:right w:val="none"/>
            </w:tcBorders>
          </w:tcPr>
          <w:p>
            <w:pPr>
              <w:spacing w:before="0" w:after="0" w:line="276" w:lineRule="auto"/>
            </w:pPr>
            <w:r>
              <w:rPr>
                <w:rFonts w:ascii="Segoe UI" w:hAnsi="Segoe UI"/>
                <w:b/>
                <w:color w:val="0B4F6C"/>
                <w:sz w:val="19"/>
              </w:rPr>
            </w:r>
            <w:r>
              <w:rPr>
                <w:rFonts w:ascii="Segoe UI" w:hAnsi="Segoe UI"/>
                <w:b/>
                <w:color w:val="0B4F6C"/>
                <w:sz w:val="19"/>
              </w:rPr>
              <w:t>To:</w:t>
            </w:r>
          </w:p>
        </w:tc>
        <w:tc>
          <w:tcPr>
            <w:tcW w:type="dxa" w:w="8496"/>
            <w:shd w:fill="F8FAFC"/>
            <w:tcMar>
              <w:top w:w="100" w:type="dxa"/>
              <w:bottom w:w="100" w:type="dxa"/>
              <w:left w:w="160" w:type="dxa"/>
              <w:right w:w="160" w:type="dxa"/>
            </w:tcMar>
            <w:tcBorders>
              <w:top w:val="single" w:sz="4" w:space="0" w:color="E2E8F0"/>
              <w:bottom w:val="none"/>
              <w:left w:val="none"/>
              <w:right w:val="none"/>
            </w:tcBorders>
          </w:tcPr>
          <w:p>
            <w:pPr>
              <w:spacing w:before="0" w:after="0" w:line="276" w:lineRule="auto"/>
            </w:pPr>
            <w:r>
              <w:rPr>
                <w:rFonts w:ascii="Segoe UI" w:hAnsi="Segoe UI"/>
                <w:color w:val="1E293B"/>
                <w:sz w:val="19"/>
              </w:rPr>
            </w:r>
            <w:r>
              <w:rPr>
                <w:rFonts w:ascii="Segoe UI" w:hAnsi="Segoe UI"/>
                <w:color w:val="1E293B"/>
                <w:sz w:val="19"/>
              </w:rPr>
              <w:t>Executive Team; Board Reporting Working Group</w:t>
            </w:r>
          </w:p>
        </w:tc>
      </w:tr>
      <w:tr>
        <w:trPr>
          <w:cantSplit/>
        </w:trPr>
        <w:tc>
          <w:tcPr>
            <w:tcW w:type="dxa" w:w="1296"/>
            <w:shd w:fill="F8FAFC"/>
            <w:tcMar>
              <w:top w:w="100" w:type="dxa"/>
              <w:bottom w:w="100" w:type="dxa"/>
              <w:left w:w="160" w:type="dxa"/>
              <w:right w:w="160" w:type="dxa"/>
            </w:tcMar>
            <w:tcBorders>
              <w:top w:val="single" w:sz="18" w:space="0" w:color="0B4F6C"/>
              <w:bottom w:val="single" w:sz="18" w:space="0" w:color="0B4F6C"/>
              <w:left w:val="single" w:sz="18" w:space="0" w:color="0B4F6C"/>
              <w:right w:val="none"/>
            </w:tcBorders>
          </w:tcPr>
          <w:p>
            <w:pPr>
              <w:spacing w:before="0" w:after="0" w:line="276" w:lineRule="auto"/>
            </w:pPr>
            <w:r>
              <w:rPr>
                <w:rFonts w:ascii="Segoe UI" w:hAnsi="Segoe UI"/>
                <w:b/>
                <w:color w:val="0B4F6C"/>
                <w:sz w:val="19"/>
              </w:rPr>
            </w:r>
            <w:r>
              <w:rPr>
                <w:rFonts w:ascii="Segoe UI" w:hAnsi="Segoe UI"/>
                <w:b/>
                <w:color w:val="0B4F6C"/>
                <w:sz w:val="19"/>
              </w:rPr>
              <w:t>Re:</w:t>
            </w:r>
          </w:p>
        </w:tc>
        <w:tc>
          <w:tcPr>
            <w:tcW w:type="dxa" w:w="8496"/>
            <w:shd w:fill="F8FAFC"/>
            <w:tcMar>
              <w:top w:w="100" w:type="dxa"/>
              <w:bottom w:w="100" w:type="dxa"/>
              <w:left w:w="160" w:type="dxa"/>
              <w:right w:w="160" w:type="dxa"/>
            </w:tcMar>
            <w:tcBorders>
              <w:top w:val="single" w:sz="4" w:space="0" w:color="E2E8F0"/>
              <w:bottom w:val="single" w:sz="4" w:space="0" w:color="E2E8F0"/>
              <w:left w:val="none"/>
              <w:right w:val="none"/>
            </w:tcBorders>
          </w:tcPr>
          <w:p>
            <w:pPr>
              <w:spacing w:before="0" w:after="0" w:line="276" w:lineRule="auto"/>
            </w:pPr>
            <w:r>
              <w:rPr>
                <w:rFonts w:ascii="Segoe UI" w:hAnsi="Segoe UI"/>
                <w:b/>
                <w:color w:val="0A2540"/>
                <w:sz w:val="19"/>
              </w:rPr>
            </w:r>
            <w:r>
              <w:rPr>
                <w:rFonts w:ascii="Segoe UI" w:hAnsi="Segoe UI"/>
                <w:b/>
                <w:color w:val="0A2540"/>
                <w:sz w:val="19"/>
              </w:rPr>
              <w:t>FY2025 Combined P&amp;L Proration Methodology (v1)</w:t>
            </w:r>
          </w:p>
        </w:tc>
      </w:tr>
    </w:tbl>
    <w:p>
      <w:pPr>
        <w:spacing w:before="160" w:after="240" w:line="288" w:lineRule="auto"/>
      </w:pPr>
      <w:r>
        <w:rPr>
          <w:rFonts w:ascii="Segoe UI" w:hAnsi="Segoe UI"/>
          <w:color w:val="CBD5E1"/>
          <w:sz w:val="16"/>
        </w:rPr>
        <w:t>________________________________________</w:t>
      </w:r>
    </w:p>
    <w:p>
      <w:pPr>
        <w:keepNext/>
        <w:spacing w:before="280" w:after="120" w:line="288" w:lineRule="auto"/>
        <w:pBdr>
          <w:bottom w:val="single" w:sz="6" w:space="4" w:color="0B4F6C"/>
        </w:pBdr>
      </w:pPr>
      <w:r>
        <w:rPr>
          <w:rFonts w:ascii="Segoe UI" w:hAnsi="Segoe UI"/>
          <w:b/>
          <w:color w:val="0B4F6C"/>
          <w:sz w:val="25"/>
        </w:rPr>
        <w:t>1. Purpose</w:t>
      </w:r>
    </w:p>
    <w:p>
      <w:pPr>
        <w:spacing w:after="140" w:line="288" w:lineRule="auto" w:before="0"/>
      </w:pPr>
      <w:r>
        <w:rPr>
          <w:rFonts w:ascii="Segoe UI" w:hAnsi="Segoe UI"/>
          <w:color w:val="1E293B"/>
          <w:sz w:val="20"/>
        </w:rPr>
        <w:t>This memo establishes the single, controlling methodology by which Thornfield Life Sciences Marketing, Inc. will report combined FY2025 revenue in all board deliverables prepared after FY2025 close. The Bramwell Scientific Marketing, LLC acquisition closes on September 1, 2025, mid-year for both entities' calendar fiscal years. Because Thornfield did not own Bramwell for the January–August 2025 period, the combined FY2025 revenue figure cannot be produced by a simple side-by-side sum of the two companies' full standalone annual results. The proration rule set out below is the only method by which the combined figure may be presented as the reportable headline number in Q4 board reporting, the first post-acquisition QBR (scheduled for 1/20/2026), and any subsequent FY2025 retrospective materials. Finance owns this methodology; deviations require written sign-off from the Finance Director.</w:t>
      </w:r>
    </w:p>
    <w:p>
      <w:pPr>
        <w:keepNext/>
        <w:spacing w:before="360" w:after="120" w:line="288" w:lineRule="auto"/>
        <w:pBdr>
          <w:bottom w:val="single" w:sz="6" w:space="4" w:color="0B4F6C"/>
        </w:pBdr>
      </w:pPr>
      <w:r>
        <w:rPr>
          <w:rFonts w:ascii="Segoe UI" w:hAnsi="Segoe UI"/>
          <w:b/>
          <w:color w:val="0B4F6C"/>
          <w:sz w:val="25"/>
        </w:rPr>
        <w:t>2. Methodology</w:t>
      </w:r>
    </w:p>
    <w:p>
      <w:pPr>
        <w:spacing w:after="140" w:line="288" w:lineRule="auto" w:before="0"/>
      </w:pPr>
      <w:r>
        <w:rPr>
          <w:rFonts w:ascii="Segoe UI" w:hAnsi="Segoe UI"/>
          <w:color w:val="1E293B"/>
          <w:sz w:val="20"/>
        </w:rPr>
        <w:t>Thornfield's full FY2025 (January 1 – December 31, 2025) standalone revenue counts in full. Bramwell's FY2025 standalone revenue counts ONLY for the post-close portion — September 1 through December 31, 2025 — computed as a 4/12 proration of Bramwell's standalone FY2025 total. Pre-close Bramwell revenue (January–August 2025) is NOT reported in Thornfield's consolidated combined figure.</w:t>
      </w:r>
    </w:p>
    <w:p>
      <w:pPr>
        <w:spacing w:after="140" w:line="288" w:lineRule="auto" w:before="0"/>
      </w:pPr>
      <w:r>
        <w:rPr>
          <w:rFonts w:ascii="Segoe UI" w:hAnsi="Segoe UI"/>
          <w:color w:val="1E293B"/>
          <w:sz w:val="20"/>
        </w:rPr>
        <w:t>The rationale is straightforward: Thornfield's consolidated results reflect ownership economics. Revenue earned by Bramwell as an independent entity, before the September 1 close, was not Thornfield revenue and does not roll up into Thornfield's FY2025 P&amp;L. The 4/12 proration is a simple time-based allocation of Bramwell's twelve-month standalone total to the four post-close months (September, October, November, December). It is applied uniformly, without adjustment for seasonality or client mix; management judged that a straight-line time-basis proration is the appropriate first-year convention pending full transaction-accounting review.</w:t>
      </w:r>
    </w:p>
    <w:p>
      <w:pPr>
        <w:spacing w:after="140" w:line="288" w:lineRule="auto" w:before="0"/>
      </w:pPr>
      <w:r>
        <w:rPr>
          <w:rFonts w:ascii="Segoe UI" w:hAnsi="Segoe UI"/>
          <w:color w:val="1E293B"/>
          <w:sz w:val="20"/>
        </w:rPr>
        <w:t>Inputs to the proration will be the two management-prepared standalone financials for FY2025, each finalized and issued after fiscal year-end close:</w:t>
      </w:r>
    </w:p>
    <w:p>
      <w:pPr>
        <w:pStyle w:val="ListBullet"/>
        <w:spacing w:after="80" w:line="288" w:lineRule="auto" w:before="60"/>
        <w:ind w:left="504"/>
      </w:pPr>
      <w:r>
        <w:rPr>
          <w:rFonts w:ascii="Segoe UI" w:hAnsi="Segoe UI"/>
          <w:color w:val="1E293B"/>
          <w:sz w:val="20"/>
        </w:rPr>
        <w:t>Thornfield's full-year FY2025 standalone revenue (used as-is).</w:t>
      </w:r>
    </w:p>
    <w:p>
      <w:pPr>
        <w:pStyle w:val="ListBullet"/>
        <w:spacing w:after="80" w:line="288" w:lineRule="auto" w:before="60"/>
        <w:ind w:left="504"/>
      </w:pPr>
      <w:r>
        <w:rPr>
          <w:rFonts w:ascii="Segoe UI" w:hAnsi="Segoe UI"/>
          <w:color w:val="1E293B"/>
          <w:sz w:val="20"/>
        </w:rPr>
        <w:t>Bramwell's full-year FY2025 standalone revenue (prorated by 4/12 for reporting).</w:t>
      </w:r>
    </w:p>
    <w:p>
      <w:pPr>
        <w:spacing w:after="140" w:line="288" w:lineRule="auto" w:before="0"/>
      </w:pPr>
    </w:p>
    <w:p>
      <w:pPr>
        <w:keepNext/>
        <w:spacing w:before="360" w:after="120" w:line="288" w:lineRule="auto"/>
        <w:pBdr>
          <w:bottom w:val="single" w:sz="6" w:space="4" w:color="0B4F6C"/>
        </w:pBdr>
      </w:pPr>
      <w:r>
        <w:rPr>
          <w:rFonts w:ascii="Segoe UI" w:hAnsi="Segoe UI"/>
          <w:b/>
          <w:color w:val="0B4F6C"/>
          <w:sz w:val="25"/>
        </w:rPr>
        <w:t>3. Non-Standard Presentation Prohibition</w:t>
      </w:r>
    </w:p>
    <w:p>
      <w:pPr>
        <w:spacing w:after="140" w:line="288" w:lineRule="auto" w:before="0"/>
      </w:pPr>
      <w:r>
        <w:rPr>
          <w:rFonts w:ascii="Segoe UI" w:hAnsi="Segoe UI"/>
          <w:color w:val="1E293B"/>
          <w:sz w:val="20"/>
        </w:rPr>
        <w:t>Casual side-by-side mentions of both companies' full annual standalone figures, simply added together, are not the reportable combined revenue and must not appear in board deliverables as the headline number. Any such figure encountered in draft correspondence, pre-read narratives, or informal briefings — including references that pair the two standalone totals without applying the 4/12 proration — is a pre-close descriptive statistic about the two independent businesses, not a Thornfield consolidated result. Slide authors, memo authors, and QBR contributors are instructed to reject any $10.0M-style combined presentation and to apply the 4/12 proration required under Section 2 instead. Where context genuinely requires disclosing both standalone totals (for example, transaction-scope narrative or footnote disclosure of the acquired entity's independent scale), the standalone figures may be presented as such, clearly labeled as standalone and pre-close for Bramwell, and never summed on the same line as the reportable combined revenue.</w:t>
      </w:r>
    </w:p>
    <w:p>
      <w:pPr>
        <w:spacing w:after="140" w:line="288" w:lineRule="auto" w:before="0"/>
      </w:pPr>
      <w:r>
        <w:rPr>
          <w:rFonts w:ascii="Segoe UI" w:hAnsi="Segoe UI"/>
          <w:color w:val="1E293B"/>
          <w:sz w:val="20"/>
        </w:rPr>
        <w:t>The proration methodology in this memo governs the FY2025 close and the first post-acquisition board QBR. Any change requires a versioned reissue of this document.</w:t>
      </w:r>
    </w:p>
    <w:p>
      <w:pPr>
        <w:keepNext/>
        <w:spacing w:before="360" w:after="120" w:line="288" w:lineRule="auto"/>
        <w:pBdr>
          <w:bottom w:val="single" w:sz="6" w:space="4" w:color="0B4F6C"/>
        </w:pBdr>
      </w:pPr>
      <w:r>
        <w:rPr>
          <w:rFonts w:ascii="Segoe UI" w:hAnsi="Segoe UI"/>
          <w:b/>
          <w:color w:val="0B4F6C"/>
          <w:sz w:val="25"/>
        </w:rPr>
        <w:t>4. Sign-Off</w:t>
      </w:r>
    </w:p>
    <w:p>
      <w:pPr>
        <w:spacing w:after="140" w:line="288" w:lineRule="auto" w:before="0"/>
      </w:pPr>
      <w:r>
        <w:rPr>
          <w:rFonts w:ascii="Segoe UI" w:hAnsi="Segoe UI"/>
          <w:color w:val="1E293B"/>
          <w:sz w:val="20"/>
        </w:rPr>
        <w:t>Approved and issued by Finance:</w:t>
      </w:r>
    </w:p>
    <w:p>
      <w:pPr>
        <w:spacing w:before="160" w:after="240" w:line="288" w:lineRule="auto"/>
      </w:pPr>
      <w:r>
        <w:rPr>
          <w:rFonts w:ascii="Segoe UI" w:hAnsi="Segoe UI"/>
          <w:color w:val="CBD5E1"/>
          <w:sz w:val="16"/>
        </w:rPr>
        <w:t>________________________________________</w:t>
      </w:r>
    </w:p>
    <w:p>
      <w:pPr>
        <w:spacing w:after="40" w:line="288" w:lineRule="auto" w:before="20"/>
      </w:pPr>
      <w:r>
        <w:rPr>
          <w:rFonts w:ascii="Segoe UI" w:hAnsi="Segoe UI"/>
          <w:b/>
          <w:color w:val="0A2540"/>
          <w:sz w:val="21"/>
        </w:rPr>
        <w:t>Alan Rutherford, Finance Director</w:t>
      </w:r>
    </w:p>
    <w:p>
      <w:pPr>
        <w:spacing w:after="40" w:line="288" w:lineRule="auto" w:before="20"/>
      </w:pPr>
      <w:r>
        <w:rPr>
          <w:rFonts w:ascii="Segoe UI" w:hAnsi="Segoe UI"/>
          <w:color w:val="64748B"/>
          <w:sz w:val="19"/>
        </w:rPr>
        <w:t>Thornfield Life Sciences Marketing, Inc.</w:t>
      </w:r>
    </w:p>
    <w:p>
      <w:pPr>
        <w:spacing w:after="240" w:line="288" w:lineRule="auto" w:before="20"/>
      </w:pPr>
      <w:r>
        <w:rPr>
          <w:rFonts w:ascii="Segoe UI" w:hAnsi="Segoe UI"/>
          <w:color w:val="64748B"/>
          <w:sz w:val="19"/>
        </w:rPr>
        <w:t>Date: 08/20/2025</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