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80" w:before="0" w:line="240" w:lineRule="auto"/>
        <w:spacing w:val="30"/>
        <w:pBdr>
          <w:top w:val="single" w:sz="24" w:space="8" w:color="0F172A"/>
        </w:pBdr>
      </w:pPr>
      <w:r>
        <w:rPr>
          <w:rFonts w:ascii="Arial" w:hAnsi="Arial"/>
          <w:b/>
          <w:i w:val="0"/>
          <w:color w:val="0284C7"/>
          <w:sz w:val="19"/>
        </w:rPr>
        <w:t>THORNFIELD LIFE SCIENCES MARKETING</w:t>
      </w:r>
    </w:p>
    <w:p>
      <w:pPr>
        <w:keepNext w:val="0"/>
        <w:spacing w:after="320" w:before="120" w:line="276" w:lineRule="auto"/>
        <w:pBdr>
          <w:bottom w:val="single" w:sz="18" w:space="10" w:color="0284C7"/>
        </w:pBdr>
      </w:pPr>
      <w:r>
        <w:rPr>
          <w:rFonts w:ascii="Arial" w:hAnsi="Arial"/>
          <w:b/>
          <w:i w:val="0"/>
          <w:color w:val="0F172A"/>
          <w:sz w:val="36"/>
        </w:rPr>
        <w:t>MEMO — Compliance Reserve &amp; Claims-Review Policy (v1)</w:t>
      </w:r>
    </w:p>
    <w:tbl>
      <w:tblPr>
        <w:tblW w:type="auto" w:w="0"/>
        <w:jc w:val="left"/>
        <w:tblLayout w:type="fixed"/>
        <w:tblLook w:firstColumn="1" w:firstRow="1" w:lastColumn="0" w:lastRow="0" w:noHBand="0" w:noVBand="1" w:val="04A0"/>
      </w:tblPr>
      <w:tblGrid>
        <w:gridCol w:w="1296"/>
        <w:gridCol w:w="8064"/>
      </w:tblGrid>
      <w:tr>
        <w:trPr>
          <w:cantSplit/>
        </w:trPr>
        <w:tc>
          <w:tcPr>
            <w:tcW w:type="dxa" w:w="1440"/>
            <w:shd w:fill="F8FAFC"/>
            <w:tcMar>
              <w:top w:w="120" w:type="dxa"/>
              <w:bottom w:w="120" w:type="dxa"/>
              <w:left w:w="180" w:type="dxa"/>
              <w:right w:w="180" w:type="dxa"/>
            </w:tcMar>
            <w:tcBorders>
              <w:top w:val="single" w:sz="4" w:space="0" w:color="E2E8F0"/>
              <w:left w:val="single" w:sz="36" w:space="0" w:color="0284C7"/>
              <w:bottom w:val="single" w:sz="4" w:space="0" w:color="E2E8F0"/>
              <w:right w:val="none"/>
            </w:tcBorders>
          </w:tcPr>
          <w:p>
            <w:pPr>
              <w:spacing w:after="0" w:before="0" w:line="276" w:lineRule="auto"/>
            </w:pPr>
            <w:r>
              <w:rPr>
                <w:rFonts w:ascii="Arial" w:hAnsi="Arial"/>
                <w:b/>
                <w:color w:val="0284C7"/>
                <w:sz w:val="19"/>
              </w:rPr>
            </w:r>
            <w:r>
              <w:rPr>
                <w:rFonts w:ascii="Arial" w:hAnsi="Arial"/>
                <w:b/>
                <w:color w:val="0284C7"/>
                <w:sz w:val="19"/>
              </w:rPr>
              <w:t>Date:</w:t>
            </w:r>
          </w:p>
        </w:tc>
        <w:tc>
          <w:tcPr>
            <w:tcW w:type="dxa" w:w="7920"/>
            <w:shd w:fill="F8FAFC"/>
            <w:tcMar>
              <w:top w:w="120" w:type="dxa"/>
              <w:bottom w:w="120" w:type="dxa"/>
              <w:left w:w="180" w:type="dxa"/>
              <w:right w:w="180" w:type="dxa"/>
            </w:tcMar>
            <w:tcBorders>
              <w:top w:val="single" w:sz="4" w:space="0" w:color="E2E8F0"/>
              <w:left w:val="none"/>
              <w:bottom w:val="single" w:sz="4" w:space="0" w:color="E2E8F0"/>
              <w:right w:val="none"/>
            </w:tcBorders>
          </w:tcPr>
          <w:p>
            <w:pPr>
              <w:spacing w:after="0" w:before="0" w:line="276" w:lineRule="auto"/>
            </w:pPr>
            <w:r>
              <w:rPr>
                <w:rFonts w:ascii="Arial" w:hAnsi="Arial"/>
                <w:color w:val="334155"/>
                <w:sz w:val="20"/>
              </w:rPr>
            </w:r>
            <w:r>
              <w:rPr>
                <w:rFonts w:ascii="Arial" w:hAnsi="Arial"/>
                <w:color w:val="334155"/>
                <w:sz w:val="20"/>
              </w:rPr>
              <w:t>09/15/2025</w:t>
            </w:r>
          </w:p>
        </w:tc>
      </w:tr>
      <w:tr>
        <w:trPr>
          <w:cantSplit/>
        </w:trPr>
        <w:tc>
          <w:tcPr>
            <w:tcW w:type="dxa" w:w="1440"/>
            <w:shd w:fill="F8FAFC"/>
            <w:tcMar>
              <w:top w:w="120" w:type="dxa"/>
              <w:bottom w:w="120" w:type="dxa"/>
              <w:left w:w="180" w:type="dxa"/>
              <w:right w:w="180" w:type="dxa"/>
            </w:tcMar>
            <w:tcBorders>
              <w:top w:val="single" w:sz="4" w:space="0" w:color="E2E8F0"/>
              <w:left w:val="single" w:sz="36" w:space="0" w:color="0284C7"/>
              <w:bottom w:val="single" w:sz="4" w:space="0" w:color="E2E8F0"/>
              <w:right w:val="none"/>
            </w:tcBorders>
          </w:tcPr>
          <w:p>
            <w:pPr>
              <w:spacing w:after="0" w:before="0" w:line="276" w:lineRule="auto"/>
            </w:pPr>
            <w:r>
              <w:rPr>
                <w:rFonts w:ascii="Arial" w:hAnsi="Arial"/>
                <w:b/>
                <w:color w:val="0284C7"/>
                <w:sz w:val="19"/>
              </w:rPr>
            </w:r>
            <w:r>
              <w:rPr>
                <w:rFonts w:ascii="Arial" w:hAnsi="Arial"/>
                <w:b/>
                <w:color w:val="0284C7"/>
                <w:sz w:val="19"/>
              </w:rPr>
              <w:t>From:</w:t>
            </w:r>
          </w:p>
        </w:tc>
        <w:tc>
          <w:tcPr>
            <w:tcW w:type="dxa" w:w="7920"/>
            <w:shd w:fill="F8FAFC"/>
            <w:tcMar>
              <w:top w:w="120" w:type="dxa"/>
              <w:bottom w:w="120" w:type="dxa"/>
              <w:left w:w="180" w:type="dxa"/>
              <w:right w:w="180" w:type="dxa"/>
            </w:tcMar>
            <w:tcBorders>
              <w:top w:val="single" w:sz="4" w:space="0" w:color="E2E8F0"/>
              <w:left w:val="none"/>
              <w:bottom w:val="single" w:sz="4" w:space="0" w:color="E2E8F0"/>
              <w:right w:val="none"/>
            </w:tcBorders>
          </w:tcPr>
          <w:p>
            <w:pPr>
              <w:spacing w:after="0" w:before="0" w:line="276" w:lineRule="auto"/>
            </w:pPr>
            <w:r>
              <w:rPr>
                <w:rFonts w:ascii="Arial" w:hAnsi="Arial"/>
                <w:color w:val="334155"/>
                <w:sz w:val="20"/>
              </w:rPr>
            </w:r>
            <w:r>
              <w:rPr>
                <w:rFonts w:ascii="Arial" w:hAnsi="Arial"/>
                <w:color w:val="334155"/>
                <w:sz w:val="20"/>
              </w:rPr>
              <w:t>Linh Vuong, Compliance &amp; Legal Counsel</w:t>
            </w:r>
          </w:p>
        </w:tc>
      </w:tr>
      <w:tr>
        <w:trPr>
          <w:cantSplit/>
        </w:trPr>
        <w:tc>
          <w:tcPr>
            <w:tcW w:type="dxa" w:w="1440"/>
            <w:shd w:fill="F8FAFC"/>
            <w:tcMar>
              <w:top w:w="120" w:type="dxa"/>
              <w:bottom w:w="120" w:type="dxa"/>
              <w:left w:w="180" w:type="dxa"/>
              <w:right w:w="180" w:type="dxa"/>
            </w:tcMar>
            <w:tcBorders>
              <w:top w:val="single" w:sz="4" w:space="0" w:color="E2E8F0"/>
              <w:left w:val="single" w:sz="36" w:space="0" w:color="0284C7"/>
              <w:bottom w:val="single" w:sz="4" w:space="0" w:color="E2E8F0"/>
              <w:right w:val="none"/>
            </w:tcBorders>
          </w:tcPr>
          <w:p>
            <w:pPr>
              <w:spacing w:after="0" w:before="0" w:line="276" w:lineRule="auto"/>
            </w:pPr>
            <w:r>
              <w:rPr>
                <w:rFonts w:ascii="Arial" w:hAnsi="Arial"/>
                <w:b/>
                <w:color w:val="0284C7"/>
                <w:sz w:val="19"/>
              </w:rPr>
            </w:r>
            <w:r>
              <w:rPr>
                <w:rFonts w:ascii="Arial" w:hAnsi="Arial"/>
                <w:b/>
                <w:color w:val="0284C7"/>
                <w:sz w:val="19"/>
              </w:rPr>
              <w:t>To:</w:t>
            </w:r>
          </w:p>
        </w:tc>
        <w:tc>
          <w:tcPr>
            <w:tcW w:type="dxa" w:w="7920"/>
            <w:shd w:fill="F8FAFC"/>
            <w:tcMar>
              <w:top w:w="120" w:type="dxa"/>
              <w:bottom w:w="120" w:type="dxa"/>
              <w:left w:w="180" w:type="dxa"/>
              <w:right w:w="180" w:type="dxa"/>
            </w:tcMar>
            <w:tcBorders>
              <w:top w:val="single" w:sz="4" w:space="0" w:color="E2E8F0"/>
              <w:left w:val="none"/>
              <w:bottom w:val="single" w:sz="4" w:space="0" w:color="E2E8F0"/>
              <w:right w:val="none"/>
            </w:tcBorders>
          </w:tcPr>
          <w:p>
            <w:pPr>
              <w:spacing w:after="0" w:before="0" w:line="276" w:lineRule="auto"/>
            </w:pPr>
            <w:r>
              <w:rPr>
                <w:rFonts w:ascii="Arial" w:hAnsi="Arial"/>
                <w:color w:val="334155"/>
                <w:sz w:val="20"/>
              </w:rPr>
            </w:r>
            <w:r>
              <w:rPr>
                <w:rFonts w:ascii="Arial" w:hAnsi="Arial"/>
                <w:color w:val="334155"/>
                <w:sz w:val="20"/>
              </w:rPr>
              <w:t>Marketing Operations; Finance; Creative</w:t>
            </w:r>
          </w:p>
        </w:tc>
      </w:tr>
      <w:tr>
        <w:trPr>
          <w:cantSplit/>
        </w:trPr>
        <w:tc>
          <w:tcPr>
            <w:tcW w:type="dxa" w:w="1440"/>
            <w:shd w:fill="F8FAFC"/>
            <w:tcMar>
              <w:top w:w="120" w:type="dxa"/>
              <w:bottom w:w="120" w:type="dxa"/>
              <w:left w:w="180" w:type="dxa"/>
              <w:right w:w="180" w:type="dxa"/>
            </w:tcMar>
            <w:tcBorders>
              <w:top w:val="single" w:sz="4" w:space="0" w:color="E2E8F0"/>
              <w:left w:val="single" w:sz="36" w:space="0" w:color="0284C7"/>
              <w:bottom w:val="single" w:sz="4" w:space="0" w:color="E2E8F0"/>
              <w:right w:val="none"/>
            </w:tcBorders>
          </w:tcPr>
          <w:p>
            <w:pPr>
              <w:spacing w:after="0" w:before="0" w:line="276" w:lineRule="auto"/>
            </w:pPr>
            <w:r>
              <w:rPr>
                <w:rFonts w:ascii="Arial" w:hAnsi="Arial"/>
                <w:b/>
                <w:color w:val="0284C7"/>
                <w:sz w:val="19"/>
              </w:rPr>
            </w:r>
            <w:r>
              <w:rPr>
                <w:rFonts w:ascii="Arial" w:hAnsi="Arial"/>
                <w:b/>
                <w:color w:val="0284C7"/>
                <w:sz w:val="19"/>
              </w:rPr>
              <w:t>Re:</w:t>
            </w:r>
          </w:p>
        </w:tc>
        <w:tc>
          <w:tcPr>
            <w:tcW w:type="dxa" w:w="7920"/>
            <w:shd w:fill="F8FAFC"/>
            <w:tcMar>
              <w:top w:w="120" w:type="dxa"/>
              <w:bottom w:w="120" w:type="dxa"/>
              <w:left w:w="180" w:type="dxa"/>
              <w:right w:w="180" w:type="dxa"/>
            </w:tcMar>
            <w:tcBorders>
              <w:top w:val="single" w:sz="4" w:space="0" w:color="E2E8F0"/>
              <w:left w:val="none"/>
              <w:bottom w:val="single" w:sz="4" w:space="0" w:color="E2E8F0"/>
              <w:right w:val="none"/>
            </w:tcBorders>
          </w:tcPr>
          <w:p>
            <w:pPr>
              <w:spacing w:after="0" w:before="0" w:line="276" w:lineRule="auto"/>
            </w:pPr>
            <w:r>
              <w:rPr>
                <w:rFonts w:ascii="Arial" w:hAnsi="Arial"/>
                <w:b/>
                <w:color w:val="0F172A"/>
                <w:sz w:val="20"/>
              </w:rPr>
            </w:r>
            <w:r>
              <w:rPr>
                <w:rFonts w:ascii="Arial" w:hAnsi="Arial"/>
                <w:b/>
                <w:color w:val="0F172A"/>
                <w:sz w:val="20"/>
              </w:rPr>
              <w:t>Compliance Reserve &amp; Claims-Review Policy (v1)</w:t>
            </w:r>
          </w:p>
        </w:tc>
      </w:tr>
    </w:tbl>
    <w:p>
      <w:pPr>
        <w:keepNext w:val="0"/>
        <w:spacing w:after="120" w:before="0" w:line="240" w:lineRule="auto"/>
      </w:pPr>
      <w:r>
        <w:rPr>
          <w:rFonts w:ascii="Arial" w:hAnsi="Arial"/>
          <w:b w:val="0"/>
          <w:i w:val="0"/>
          <w:color w:val="334155"/>
          <w:sz w:val="8"/>
        </w:rPr>
      </w:r>
    </w:p>
    <w:p>
      <w:pPr>
        <w:keepNext/>
        <w:spacing w:after="160" w:before="400" w:line="276" w:lineRule="auto"/>
        <w:shd w:fill="F1F5F9"/>
        <w:pBdr>
          <w:left w:val="single" w:sz="24" w:space="10" w:color="0284C7"/>
        </w:pBdr>
      </w:pPr>
      <w:r>
        <w:rPr>
          <w:rFonts w:ascii="Arial" w:hAnsi="Arial"/>
          <w:b/>
          <w:i w:val="0"/>
          <w:color w:val="0F172A"/>
          <w:sz w:val="24"/>
        </w:rPr>
        <w:t>1. Purpose</w:t>
      </w:r>
    </w:p>
    <w:p>
      <w:pPr>
        <w:keepNext w:val="0"/>
        <w:spacing w:after="140" w:before="0" w:line="300" w:lineRule="auto"/>
      </w:pPr>
      <w:r>
        <w:rPr>
          <w:rFonts w:ascii="Arial" w:hAnsi="Arial"/>
          <w:b w:val="0"/>
          <w:i w:val="0"/>
          <w:color w:val="334155"/>
          <w:sz w:val="20"/>
        </w:rPr>
        <w:t>This policy formalizes two post-acquisition compliance standards that Marketing Operations, Finance, and Creative are expected to apply uniformly across the combined Thornfield / Bramwell book. The first standard restates and confirms the spend-based reserve tier established in the Integration SOP Addendum (v1) of 08/02/2025 as the authoritative company-wide reserve rule, retiring any client-type-based reserve assumption still circulating from the pre-close Bramwell environment. The second standard establishes a mandatory Compliance claims review for any comparative or superiority claim made on behalf of a regulated client — including all diagnostics and instrumentation accounts — before that claim can leave the building. Both standards are effective 09/15/2025 and apply prospectively to all live and planned engagements.</w:t>
      </w:r>
    </w:p>
    <w:p>
      <w:pPr>
        <w:keepNext/>
        <w:spacing w:after="160" w:before="400" w:line="276" w:lineRule="auto"/>
        <w:shd w:fill="F1F5F9"/>
        <w:pBdr>
          <w:left w:val="single" w:sz="24" w:space="10" w:color="0284C7"/>
        </w:pBdr>
      </w:pPr>
      <w:r>
        <w:rPr>
          <w:rFonts w:ascii="Arial" w:hAnsi="Arial"/>
          <w:b/>
          <w:i w:val="0"/>
          <w:color w:val="0F172A"/>
          <w:sz w:val="24"/>
        </w:rPr>
        <w:t>2. Reserve Tier — Formalization of the Integration SOP Addendum</w:t>
      </w:r>
    </w:p>
    <w:p>
      <w:pPr>
        <w:keepNext w:val="0"/>
        <w:spacing w:after="140" w:before="0" w:line="300" w:lineRule="auto"/>
      </w:pPr>
      <w:r>
        <w:rPr>
          <w:rFonts w:ascii="Arial" w:hAnsi="Arial"/>
          <w:b w:val="0"/>
          <w:i w:val="0"/>
          <w:color w:val="334155"/>
          <w:sz w:val="20"/>
        </w:rPr>
        <w:t>The spend-based reserve tier established in the Integration SOP Addendum (v1, 08/02/2025) is the authoritative reserve policy company-wide, effective 09/15/2025:</w:t>
      </w:r>
    </w:p>
    <w:p>
      <w:pPr>
        <w:pStyle w:val="ListBullet"/>
        <w:keepNext w:val="0"/>
        <w:spacing w:after="60" w:before="40" w:line="288" w:lineRule="auto"/>
        <w:ind w:left="432"/>
      </w:pPr>
      <w:r>
        <w:rPr>
          <w:rFonts w:ascii="Arial" w:hAnsi="Arial"/>
          <w:b/>
          <w:i w:val="0"/>
          <w:color w:val="0F172A"/>
          <w:sz w:val="20"/>
        </w:rPr>
        <w:t>3% under $150,000</w:t>
      </w:r>
      <w:r>
        <w:rPr>
          <w:rFonts w:ascii="Arial" w:hAnsi="Arial"/>
          <w:b w:val="0"/>
          <w:i w:val="0"/>
          <w:color w:val="334155"/>
          <w:sz w:val="20"/>
        </w:rPr>
        <w:t xml:space="preserve"> Q4 managed spend</w:t>
      </w:r>
    </w:p>
    <w:p>
      <w:pPr>
        <w:pStyle w:val="ListBullet"/>
        <w:keepNext w:val="0"/>
        <w:spacing w:after="60" w:before="40" w:line="288" w:lineRule="auto"/>
        <w:ind w:left="432"/>
      </w:pPr>
      <w:r>
        <w:rPr>
          <w:rFonts w:ascii="Arial" w:hAnsi="Arial"/>
          <w:b/>
          <w:i w:val="0"/>
          <w:color w:val="0F172A"/>
          <w:sz w:val="20"/>
        </w:rPr>
        <w:t>5% at or above</w:t>
      </w:r>
      <w:r>
        <w:rPr>
          <w:rFonts w:ascii="Arial" w:hAnsi="Arial"/>
          <w:b w:val="0"/>
          <w:i w:val="0"/>
          <w:color w:val="334155"/>
          <w:sz w:val="20"/>
        </w:rPr>
        <w:t xml:space="preserve"> $150,000 Q4 managed spend</w:t>
      </w:r>
    </w:p>
    <w:p>
      <w:pPr>
        <w:keepNext w:val="0"/>
        <w:spacing w:after="140" w:before="0" w:line="300" w:lineRule="auto"/>
      </w:pPr>
      <w:r>
        <w:rPr>
          <w:rFonts w:ascii="Arial" w:hAnsi="Arial"/>
          <w:b w:val="0"/>
          <w:i w:val="0"/>
          <w:color w:val="334155"/>
          <w:sz w:val="20"/>
        </w:rPr>
        <w:t>The determining input is the client's Q4 managed spend as recorded in the standard managed-spend export produced by Marketing Operations. The client's industry classification, its regulated-client flag in ERPNext, its account origin (Thornfield native vs. Inherited — Bramwell), and its historical treatment under prior Bramwell practice are not inputs to the tier calculation. Reserve is a function of spend, not of client type.</w:t>
      </w:r>
    </w:p>
    <w:p>
      <w:pPr>
        <w:keepNext w:val="0"/>
        <w:spacing w:after="200" w:before="160" w:line="300" w:lineRule="auto"/>
        <w:shd w:fill="F0F9FF"/>
        <w:pBdr>
          <w:left w:val="single" w:sz="24" w:space="12" w:color="0284C7"/>
        </w:pBdr>
      </w:pPr>
      <w:r>
        <w:rPr>
          <w:rFonts w:ascii="Arial" w:hAnsi="Arial"/>
          <w:b w:val="0"/>
          <w:i w:val="0"/>
          <w:color w:val="1E293B"/>
          <w:sz w:val="20"/>
        </w:rPr>
        <w:t>This section supersedes any prior client-type-based reserve assumption in circulation from Bramwell or Thornfield, including but not limited to any legacy Bramwell memo describing a flat 5% reserve for diagnostics clients (superseded). Where a legacy memo and this policy conflict, this policy supersedes and governs. The prior standing rule that all diagnostics and instrumentation clients carry a flat 5% budget reserve regardless of spend is retired as of the effective date and is not to be applied to Q4 2025 close, Q1 2026 planning, or any subsequent quarter. Finance is instructed to reject reserve postings that appear to have been calculated on a client-type basis rather than against the $150,000 threshold.</w:t>
      </w:r>
    </w:p>
    <w:p>
      <w:pPr>
        <w:keepNext w:val="0"/>
        <w:spacing w:after="140" w:before="0" w:line="300" w:lineRule="auto"/>
      </w:pPr>
      <w:r>
        <w:rPr>
          <w:rFonts w:ascii="Arial" w:hAnsi="Arial"/>
          <w:b w:val="0"/>
          <w:i w:val="0"/>
          <w:color w:val="334155"/>
          <w:sz w:val="20"/>
        </w:rPr>
        <w:t>Marketing Operations will confirm the applicable tier at each quarter's close by referencing the managed-spend export against the $150,000 threshold; Finance will post the reserve at the applicable rate. Any exception must be requested in writing and approved by the undersigned in advance of the close.</w:t>
      </w:r>
    </w:p>
    <w:p>
      <w:pPr>
        <w:keepNext/>
        <w:spacing w:after="160" w:before="400" w:line="276" w:lineRule="auto"/>
        <w:shd w:fill="F1F5F9"/>
        <w:pBdr>
          <w:left w:val="single" w:sz="24" w:space="10" w:color="0284C7"/>
        </w:pBdr>
      </w:pPr>
      <w:r>
        <w:rPr>
          <w:rFonts w:ascii="Arial" w:hAnsi="Arial"/>
          <w:b/>
          <w:i w:val="0"/>
          <w:color w:val="0F172A"/>
          <w:sz w:val="24"/>
        </w:rPr>
        <w:t>3. Scientific Claims Review</w:t>
      </w:r>
    </w:p>
    <w:p>
      <w:pPr>
        <w:keepNext w:val="0"/>
        <w:spacing w:after="140" w:before="0" w:line="300" w:lineRule="auto"/>
      </w:pPr>
      <w:r>
        <w:rPr>
          <w:rFonts w:ascii="Arial" w:hAnsi="Arial"/>
          <w:b w:val="0"/>
          <w:i w:val="0"/>
          <w:color w:val="334155"/>
          <w:sz w:val="20"/>
        </w:rPr>
        <w:t>Any comparative or superiority claim (e.g., speed, accuracy, turnaround time, sensitivity) for a regulated client — including all diagnostics and instrumentation clients — must clear a Compliance claims review prior to shipping, regardless of whether the creative version is otherwise approved by Creative. Comparative claims include phrases like “fastest,” “most accurate,” “industry-leading,” or any explicit head-to-head comparison against a named or unnamed competitor, published benchmark, or category norm.</w:t>
      </w:r>
    </w:p>
    <w:p>
      <w:pPr>
        <w:keepNext w:val="0"/>
        <w:spacing w:after="140" w:before="0" w:line="300" w:lineRule="auto"/>
      </w:pPr>
      <w:r>
        <w:rPr>
          <w:rFonts w:ascii="Arial" w:hAnsi="Arial"/>
          <w:b w:val="0"/>
          <w:i w:val="0"/>
          <w:color w:val="334155"/>
          <w:sz w:val="20"/>
        </w:rPr>
        <w:t>The claims-review requirement is a gate, not a courtesy. Creative approval of a brief or asset by the Creative Director (or delegate) does not by itself authorize distribution of a comparative claim for a regulated client. Where a creative version has been approved by Creative but contains a comparative or superiority claim that has not been separately cleared through Compliance, the asset is not shippable until the claim is either (a) cleared through the claims-review process and logged in the sign-off log referenced in Section 4, or (b) removed from the asset and the resulting version re-approved through the standard Creative workflow.</w:t>
      </w:r>
    </w:p>
    <w:p>
      <w:pPr>
        <w:keepNext w:val="0"/>
        <w:spacing w:after="140" w:before="0" w:line="300" w:lineRule="auto"/>
      </w:pPr>
      <w:r>
        <w:rPr>
          <w:rFonts w:ascii="Arial" w:hAnsi="Arial"/>
          <w:b w:val="0"/>
          <w:i w:val="0"/>
          <w:color w:val="334155"/>
          <w:sz w:val="20"/>
        </w:rPr>
        <w:t>The following are examples of claims that require a claims review before shipping:</w:t>
      </w:r>
    </w:p>
    <w:p>
      <w:pPr>
        <w:pStyle w:val="ListBullet"/>
        <w:keepNext w:val="0"/>
        <w:spacing w:after="60" w:before="40" w:line="288" w:lineRule="auto"/>
        <w:ind w:left="432"/>
      </w:pPr>
      <w:r>
        <w:rPr>
          <w:rFonts w:ascii="Arial" w:hAnsi="Arial"/>
          <w:b w:val="0"/>
          <w:i w:val="0"/>
          <w:color w:val="334155"/>
          <w:sz w:val="20"/>
        </w:rPr>
        <w:t>“industry-leading reagent throughput”</w:t>
      </w:r>
    </w:p>
    <w:p>
      <w:pPr>
        <w:pStyle w:val="ListBullet"/>
        <w:keepNext w:val="0"/>
        <w:spacing w:after="60" w:before="40" w:line="288" w:lineRule="auto"/>
        <w:ind w:left="432"/>
      </w:pPr>
      <w:r>
        <w:rPr>
          <w:rFonts w:ascii="Arial" w:hAnsi="Arial"/>
          <w:b w:val="0"/>
          <w:i w:val="0"/>
          <w:color w:val="334155"/>
          <w:sz w:val="20"/>
        </w:rPr>
        <w:t>“the most accurate assay in its class”</w:t>
      </w:r>
    </w:p>
    <w:p>
      <w:pPr>
        <w:pStyle w:val="ListBullet"/>
        <w:keepNext w:val="0"/>
        <w:spacing w:after="60" w:before="40" w:line="288" w:lineRule="auto"/>
        <w:ind w:left="432"/>
      </w:pPr>
      <w:r>
        <w:rPr>
          <w:rFonts w:ascii="Arial" w:hAnsi="Arial"/>
          <w:b w:val="0"/>
          <w:i w:val="0"/>
          <w:color w:val="334155"/>
          <w:sz w:val="20"/>
        </w:rPr>
        <w:t>“industry-leading sensitivity”</w:t>
      </w:r>
    </w:p>
    <w:p>
      <w:pPr>
        <w:pStyle w:val="ListBullet"/>
        <w:keepNext w:val="0"/>
        <w:spacing w:after="60" w:before="40" w:line="288" w:lineRule="auto"/>
        <w:ind w:left="432"/>
      </w:pPr>
      <w:r>
        <w:rPr>
          <w:rFonts w:ascii="Arial" w:hAnsi="Arial"/>
          <w:b w:val="0"/>
          <w:i w:val="0"/>
          <w:color w:val="334155"/>
          <w:sz w:val="20"/>
        </w:rPr>
        <w:t>any explicit head-to-head comparison to a named competitor product</w:t>
      </w:r>
    </w:p>
    <w:p>
      <w:pPr>
        <w:keepNext w:val="0"/>
        <w:spacing w:after="140" w:before="0" w:line="300" w:lineRule="auto"/>
      </w:pPr>
      <w:r>
        <w:rPr>
          <w:rFonts w:ascii="Arial" w:hAnsi="Arial"/>
          <w:b w:val="0"/>
          <w:i w:val="0"/>
          <w:color w:val="334155"/>
          <w:sz w:val="20"/>
        </w:rPr>
        <w:t>The following are examples of claims that do not, by themselves, require a claims review, though they remain subject to the standard Creative approval workflow:</w:t>
      </w:r>
    </w:p>
    <w:p>
      <w:pPr>
        <w:pStyle w:val="ListBullet"/>
        <w:keepNext w:val="0"/>
        <w:spacing w:after="60" w:before="40" w:line="288" w:lineRule="auto"/>
        <w:ind w:left="432"/>
      </w:pPr>
      <w:r>
        <w:rPr>
          <w:rFonts w:ascii="Arial" w:hAnsi="Arial"/>
          <w:b w:val="0"/>
          <w:i w:val="0"/>
          <w:color w:val="334155"/>
          <w:sz w:val="20"/>
        </w:rPr>
        <w:t>descriptive claims that do not assert comparative superiority</w:t>
      </w:r>
    </w:p>
    <w:p>
      <w:pPr>
        <w:pStyle w:val="ListBullet"/>
        <w:keepNext w:val="0"/>
        <w:spacing w:after="60" w:before="40" w:line="288" w:lineRule="auto"/>
        <w:ind w:left="432"/>
      </w:pPr>
      <w:r>
        <w:rPr>
          <w:rFonts w:ascii="Arial" w:hAnsi="Arial"/>
          <w:b w:val="0"/>
          <w:i w:val="0"/>
          <w:color w:val="334155"/>
          <w:sz w:val="20"/>
        </w:rPr>
        <w:t>claims already cleared under a prior claims-review record covering the same wording and the same regulated client</w:t>
      </w:r>
    </w:p>
    <w:p>
      <w:pPr>
        <w:keepNext w:val="0"/>
        <w:spacing w:after="140" w:before="0" w:line="300" w:lineRule="auto"/>
      </w:pPr>
      <w:r>
        <w:rPr>
          <w:rFonts w:ascii="Arial" w:hAnsi="Arial"/>
          <w:b w:val="0"/>
          <w:i w:val="0"/>
          <w:color w:val="334155"/>
          <w:sz w:val="20"/>
        </w:rPr>
        <w:t>Marketing Operations, Finance, and Creative are each responsible for flagging any regulated-client asset containing a comparative or superiority claim to Compliance before release. Creative version-control records must reflect the outcome of the claims review; a version that has cleared Creative but not Compliance is not the shippable version.</w:t>
      </w:r>
    </w:p>
    <w:p>
      <w:pPr>
        <w:keepNext/>
        <w:spacing w:after="160" w:before="400" w:line="276" w:lineRule="auto"/>
        <w:shd w:fill="F1F5F9"/>
        <w:pBdr>
          <w:left w:val="single" w:sz="24" w:space="10" w:color="0284C7"/>
        </w:pBdr>
      </w:pPr>
      <w:r>
        <w:rPr>
          <w:rFonts w:ascii="Arial" w:hAnsi="Arial"/>
          <w:b/>
          <w:i w:val="0"/>
          <w:color w:val="0F172A"/>
          <w:sz w:val="24"/>
        </w:rPr>
        <w:t>4. Sign-Off Log &amp; Diagnostics Roster References</w:t>
      </w:r>
    </w:p>
    <w:p>
      <w:pPr>
        <w:keepNext w:val="0"/>
        <w:spacing w:after="140" w:before="0" w:line="300" w:lineRule="auto"/>
      </w:pPr>
      <w:r>
        <w:rPr>
          <w:rFonts w:ascii="Arial" w:hAnsi="Arial"/>
          <w:b w:val="0"/>
          <w:i w:val="0"/>
          <w:color w:val="334155"/>
          <w:sz w:val="20"/>
        </w:rPr>
        <w:t>The current roster of regulated clients — including all diagnostics and instrumentation accounts inherited from Bramwell and all Thornfield native diagnostics accounts — is maintained by Compliance as the Legacy Diagnostics Client Roster. Marketing Operations and Creative should consult that roster to determine whether a given account falls within scope of Section 3 rather than relying on informal memory of a client's segment.</w:t>
      </w:r>
    </w:p>
    <w:p>
      <w:pPr>
        <w:keepNext w:val="0"/>
        <w:spacing w:after="140" w:before="0" w:line="300" w:lineRule="auto"/>
      </w:pPr>
      <w:r>
        <w:rPr>
          <w:rFonts w:ascii="Arial" w:hAnsi="Arial"/>
          <w:b w:val="0"/>
          <w:i w:val="0"/>
          <w:color w:val="334155"/>
          <w:sz w:val="20"/>
        </w:rPr>
        <w:t>Claims-review dispositions are recorded in the Compliance Sign-Off Log — Claims Review Approvals, also maintained by Compliance. A claim that does not appear in the sign-off log with a cleared status has not cleared claims review, regardless of any verbal or email indication to the contrary. Finance and Marketing Operations should treat the sign-off log as the authoritative record when reconciling whether a given creative version is shippable.</w:t>
      </w:r>
    </w:p>
    <w:p>
      <w:pPr>
        <w:keepNext w:val="0"/>
        <w:spacing w:after="140" w:before="0" w:line="300" w:lineRule="auto"/>
      </w:pPr>
      <w:r>
        <w:rPr>
          <w:rFonts w:ascii="Arial" w:hAnsi="Arial"/>
          <w:b w:val="0"/>
          <w:i w:val="0"/>
          <w:color w:val="334155"/>
          <w:sz w:val="20"/>
        </w:rPr>
        <w:t>Questions about scope, threshold cases, or whether a particular phrase constitutes a comparative claim should be routed to the undersigned before publication rather than after.</w:t>
      </w:r>
    </w:p>
    <w:p>
      <w:pPr>
        <w:keepNext/>
        <w:spacing w:after="160" w:before="400" w:line="276" w:lineRule="auto"/>
        <w:shd w:fill="F1F5F9"/>
        <w:pBdr>
          <w:left w:val="single" w:sz="24" w:space="10" w:color="0284C7"/>
        </w:pBdr>
      </w:pPr>
      <w:r>
        <w:rPr>
          <w:rFonts w:ascii="Arial" w:hAnsi="Arial"/>
          <w:b/>
          <w:i w:val="0"/>
          <w:color w:val="0F172A"/>
          <w:sz w:val="24"/>
        </w:rPr>
        <w:t>5. Effective Date</w:t>
      </w:r>
    </w:p>
    <w:p>
      <w:pPr>
        <w:keepNext w:val="0"/>
        <w:spacing w:after="140" w:before="0" w:line="300" w:lineRule="auto"/>
      </w:pPr>
      <w:r>
        <w:rPr>
          <w:rFonts w:ascii="Arial" w:hAnsi="Arial"/>
          <w:b w:val="0"/>
          <w:i w:val="0"/>
          <w:color w:val="334155"/>
          <w:sz w:val="20"/>
        </w:rPr>
        <w:t>09/15/2025 forward. Applies to all reserve calculations for quarters ending on or after that date and to all comparative or superiority claims for regulated clients — including diagnostics and instrumentation — routed for approval on or after that date. No retroactive application to previously closed quarters or previously shipped assets.</w:t>
      </w:r>
    </w:p>
    <w:p>
      <w:pPr>
        <w:keepNext w:val="0"/>
        <w:spacing w:after="200" w:before="400" w:line="240" w:lineRule="auto"/>
      </w:pPr>
      <w:r>
        <w:rPr>
          <w:rFonts w:ascii="Arial" w:hAnsi="Arial"/>
          <w:b w:val="0"/>
          <w:i w:val="0"/>
          <w:color w:val="CBD5E1"/>
          <w:sz w:val="16"/>
        </w:rPr>
        <w:t>________________________________________</w:t>
      </w:r>
    </w:p>
    <w:p>
      <w:pPr>
        <w:keepNext w:val="0"/>
        <w:spacing w:after="240" w:before="120" w:line="288" w:lineRule="auto"/>
        <w:shd w:fill="F8FAFC"/>
        <w:pBdr>
          <w:left w:val="single" w:sz="24" w:space="12" w:color="0F172A"/>
        </w:pBdr>
      </w:pPr>
      <w:r>
        <w:rPr>
          <w:rFonts w:ascii="Arial" w:hAnsi="Arial"/>
          <w:b/>
          <w:i w:val="0"/>
          <w:color w:val="0F172A"/>
          <w:sz w:val="20"/>
        </w:rPr>
        <w:t>Approved by: Linh Vuong, Compliance &amp; Legal Counsel        Date: 09/15/2025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334155"/>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