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i w:val="0"/>
          <w:color w:val="1E56A0"/>
          <w:sz w:val="19"/>
        </w:rPr>
        <w:t>THORNFIELD LIFE SCIENCES MARKETING</w:t>
      </w:r>
    </w:p>
    <w:p>
      <w:pPr>
        <w:spacing w:before="40" w:after="320" w:line="276" w:lineRule="auto"/>
      </w:pPr>
      <w:r>
        <w:rPr>
          <w:rFonts w:ascii="Segoe UI" w:hAnsi="Segoe UI"/>
          <w:b/>
          <w:i w:val="0"/>
          <w:color w:val="0F2942"/>
          <w:sz w:val="36"/>
        </w:rPr>
        <w:t>MEMO — Integration SOP Addendum — Rebate &amp; Reserve Rules (v1)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CBD5E1"/>
              <w:bottom w:val="single" w:sz="4" w:space="0" w:color="E2E8F0"/>
              <w:left w:val="single" w:sz="36" w:space="0" w:color="1E56A0"/>
              <w:right w:val="none"/>
            </w:tcBorders>
          </w:tcPr>
          <w:p>
            <w:pPr>
              <w:spacing w:after="40" w:before="40" w:line="288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Date:</w:t>
            </w:r>
          </w:p>
        </w:tc>
        <w:tc>
          <w:tcPr>
            <w:tcW w:type="dxa" w:w="82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CBD5E1"/>
              <w:bottom w:val="single" w:sz="4" w:space="0" w:color="E2E8F0"/>
              <w:left w:val="none"/>
              <w:right w:val="single" w:sz="6" w:space="0" w:color="CBD5E1"/>
            </w:tcBorders>
          </w:tcPr>
          <w:p>
            <w:pPr>
              <w:spacing w:after="40" w:before="40" w:line="288" w:lineRule="auto"/>
            </w:pPr>
            <w:r>
              <w:rPr>
                <w:rFonts w:ascii="Segoe UI" w:hAnsi="Segoe UI"/>
                <w:color w:val="0F172A"/>
                <w:sz w:val="19"/>
              </w:rPr>
              <w:t>08/02/2025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4" w:space="0" w:color="E2E8F0"/>
              <w:bottom w:val="single" w:sz="4" w:space="0" w:color="E2E8F0"/>
              <w:left w:val="single" w:sz="36" w:space="0" w:color="1E56A0"/>
              <w:right w:val="none"/>
            </w:tcBorders>
          </w:tcPr>
          <w:p>
            <w:pPr>
              <w:spacing w:after="40" w:before="40" w:line="288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From:</w:t>
            </w:r>
          </w:p>
        </w:tc>
        <w:tc>
          <w:tcPr>
            <w:tcW w:type="dxa" w:w="82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single" w:sz="6" w:space="0" w:color="CBD5E1"/>
            </w:tcBorders>
          </w:tcPr>
          <w:p>
            <w:pPr>
              <w:spacing w:after="40" w:before="40" w:line="288" w:lineRule="auto"/>
            </w:pPr>
            <w:r>
              <w:rPr>
                <w:rFonts w:ascii="Segoe UI" w:hAnsi="Segoe UI"/>
                <w:color w:val="0F172A"/>
                <w:sz w:val="19"/>
              </w:rPr>
              <w:t>Dana Whitfield, CEO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4" w:space="0" w:color="E2E8F0"/>
              <w:bottom w:val="single" w:sz="4" w:space="0" w:color="E2E8F0"/>
              <w:left w:val="single" w:sz="36" w:space="0" w:color="1E56A0"/>
              <w:right w:val="none"/>
            </w:tcBorders>
          </w:tcPr>
          <w:p>
            <w:pPr>
              <w:spacing w:after="40" w:before="40" w:line="288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To:</w:t>
            </w:r>
          </w:p>
        </w:tc>
        <w:tc>
          <w:tcPr>
            <w:tcW w:type="dxa" w:w="82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single" w:sz="6" w:space="0" w:color="CBD5E1"/>
            </w:tcBorders>
          </w:tcPr>
          <w:p>
            <w:pPr>
              <w:spacing w:after="40" w:before="40" w:line="288" w:lineRule="auto"/>
            </w:pPr>
            <w:r>
              <w:rPr>
                <w:rFonts w:ascii="Segoe UI" w:hAnsi="Segoe UI"/>
                <w:color w:val="0F172A"/>
                <w:sz w:val="19"/>
              </w:rPr>
              <w:t>Marketing Operations; Finance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4" w:space="0" w:color="E2E8F0"/>
              <w:bottom w:val="single" w:sz="6" w:space="0" w:color="CBD5E1"/>
              <w:left w:val="single" w:sz="36" w:space="0" w:color="1E56A0"/>
              <w:right w:val="none"/>
            </w:tcBorders>
          </w:tcPr>
          <w:p>
            <w:pPr>
              <w:spacing w:after="40" w:before="40" w:line="288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Re:</w:t>
            </w:r>
          </w:p>
        </w:tc>
        <w:tc>
          <w:tcPr>
            <w:tcW w:type="dxa" w:w="82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4" w:space="0" w:color="E2E8F0"/>
              <w:bottom w:val="single" w:sz="6" w:space="0" w:color="CBD5E1"/>
              <w:left w:val="none"/>
              <w:right w:val="single" w:sz="6" w:space="0" w:color="CBD5E1"/>
            </w:tcBorders>
          </w:tcPr>
          <w:p>
            <w:pPr>
              <w:spacing w:after="40" w:before="40" w:line="288" w:lineRule="auto"/>
            </w:pPr>
            <w:r>
              <w:rPr>
                <w:rFonts w:ascii="Segoe UI" w:hAnsi="Segoe UI"/>
                <w:color w:val="0F172A"/>
                <w:sz w:val="19"/>
              </w:rPr>
              <w:t>Integration SOP Addendum — Rebate &amp; Reserve Rules (v1)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/>
          <w:b w:val="0"/>
          <w:i w:val="0"/>
          <w:color w:val="334155"/>
          <w:sz w:val="4"/>
        </w:rPr>
      </w:r>
    </w:p>
    <w:p>
      <w:pPr>
        <w:spacing w:before="0" w:after="0" w:line="240" w:lineRule="auto"/>
        <w:pBdr>
          <w:bottom w:val="single" w:sz="6" w:space="1" w:color="999999"/>
        </w:pBdr>
      </w:pPr>
    </w:p>
    <w:p>
      <w:pPr>
        <w:spacing w:before="360" w:after="120" w:line="276" w:lineRule="auto"/>
        <w:pBdr>
          <w:bottom w:val="single" w:sz="14" w:space="4" w:color="1E56A0"/>
        </w:pBdr>
      </w:pPr>
      <w:r>
        <w:rPr>
          <w:rFonts w:ascii="Segoe UI" w:hAnsi="Segoe UI"/>
          <w:b/>
          <w:i w:val="0"/>
          <w:color w:val="0F2942"/>
          <w:sz w:val="24"/>
        </w:rPr>
        <w:t>1. Purpose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>This addendum standardizes post-close billing and reserve treatment for accounts inherited from Bramwell Scientific Marketing, LLC following the 9/1/2025 acquisition close. It establishes two rules — an inherited-account rebate credit and a spend-based reserve tier — that Marketing Operations and Finance will apply uniformly across the combined book effective 9/1/2025. Prior Bramwell-era assumptions that conflict with the rules below no longer govern; where legacy memos remain in circulation, this addendum controls.</w:t>
      </w:r>
    </w:p>
    <w:p>
      <w:pPr>
        <w:spacing w:before="360" w:after="120" w:line="276" w:lineRule="auto"/>
        <w:pBdr>
          <w:bottom w:val="single" w:sz="14" w:space="4" w:color="1E56A0"/>
        </w:pBdr>
      </w:pPr>
      <w:r>
        <w:rPr>
          <w:rFonts w:ascii="Segoe UI" w:hAnsi="Segoe UI"/>
          <w:b/>
          <w:i w:val="0"/>
          <w:color w:val="0F2942"/>
          <w:sz w:val="24"/>
        </w:rPr>
        <w:t>2. Rebate Rule — Inherited Accounts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For any account flagged in ERPNext as </w:t>
      </w:r>
      <w:r>
        <w:rPr>
          <w:rFonts w:ascii="Segoe UI" w:hAnsi="Segoe UI"/>
          <w:b w:val="0"/>
          <w:i/>
          <w:color w:val="1E56A0"/>
          <w:sz w:val="20"/>
        </w:rPr>
        <w:t>Inherited — Bramwell</w:t>
      </w:r>
      <w:r>
        <w:rPr>
          <w:rFonts w:ascii="Segoe UI" w:hAnsi="Segoe UI"/>
          <w:b w:val="0"/>
          <w:i w:val="0"/>
          <w:color w:val="334155"/>
          <w:sz w:val="20"/>
        </w:rPr>
        <w:t xml:space="preserve"> whose managed advertising spend exceeds </w:t>
      </w:r>
      <w:r>
        <w:rPr>
          <w:rFonts w:ascii="Segoe UI" w:hAnsi="Segoe UI"/>
          <w:b/>
          <w:i w:val="0"/>
          <w:color w:val="0F172A"/>
          <w:sz w:val="20"/>
        </w:rPr>
        <w:t>$200,000</w:t>
      </w:r>
      <w:r>
        <w:rPr>
          <w:rFonts w:ascii="Segoe UI" w:hAnsi="Segoe UI"/>
          <w:b w:val="0"/>
          <w:i w:val="0"/>
          <w:color w:val="334155"/>
          <w:sz w:val="20"/>
        </w:rPr>
        <w:t xml:space="preserve"> in a single quarter, Marketing Operations shall apply a </w:t>
      </w:r>
      <w:r>
        <w:rPr>
          <w:rFonts w:ascii="Segoe UI" w:hAnsi="Segoe UI"/>
          <w:b/>
          <w:i w:val="0"/>
          <w:color w:val="0F172A"/>
          <w:sz w:val="20"/>
        </w:rPr>
        <w:t>2% credit</w:t>
      </w:r>
      <w:r>
        <w:rPr>
          <w:rFonts w:ascii="Segoe UI" w:hAnsi="Segoe UI"/>
          <w:b w:val="0"/>
          <w:i w:val="0"/>
          <w:color w:val="334155"/>
          <w:sz w:val="20"/>
        </w:rPr>
        <w:t xml:space="preserve"> to that quarter's invoice.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>The credit is calculated on the qualifying quarter's gross managed platform spend, as reported in the standard Q4 managed-spend export, and is issued as a line-item credit against that quarter's management-fee invoice.</w:t>
      </w:r>
      <w:r>
        <w:rPr>
          <w:rFonts w:ascii="Segoe UI" w:hAnsi="Segoe UI"/>
          <w:b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334155"/>
          <w:sz w:val="20"/>
        </w:rPr>
      </w:r>
      <w:r>
        <w:rPr>
          <w:rFonts w:ascii="Segoe UI" w:hAnsi="Segoe UI"/>
          <w:b w:val="0"/>
          <w:i/>
          <w:color w:val="1E56A0"/>
          <w:sz w:val="20"/>
        </w:rPr>
      </w:r>
      <w:r>
        <w:rPr>
          <w:rFonts w:ascii="Segoe UI" w:hAnsi="Segoe UI"/>
          <w:b w:val="0"/>
          <w:i w:val="0"/>
          <w:color w:val="334155"/>
          <w:sz w:val="20"/>
        </w:rPr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The rule is not retroactive: only quarters that both (a) end on or after 9/1/2025 and (b) meet the $200,000 threshold are eligible. Accounts flagged </w:t>
      </w:r>
      <w:r>
        <w:rPr>
          <w:rFonts w:ascii="Segoe UI" w:hAnsi="Segoe UI"/>
          <w:b w:val="0"/>
          <w:i/>
          <w:color w:val="1E56A0"/>
          <w:sz w:val="20"/>
        </w:rPr>
        <w:t>Thornfield native</w:t>
      </w:r>
      <w:r>
        <w:rPr>
          <w:rFonts w:ascii="Segoe UI" w:hAnsi="Segoe UI"/>
          <w:b w:val="0"/>
          <w:i w:val="0"/>
          <w:color w:val="334155"/>
          <w:sz w:val="20"/>
        </w:rPr>
        <w:t xml:space="preserve"> are out of scope for this section.</w:t>
      </w:r>
    </w:p>
    <w:p>
      <w:pPr>
        <w:spacing w:before="360" w:after="120" w:line="276" w:lineRule="auto"/>
        <w:pBdr>
          <w:bottom w:val="single" w:sz="14" w:space="4" w:color="1E56A0"/>
        </w:pBdr>
      </w:pPr>
      <w:r>
        <w:rPr>
          <w:rFonts w:ascii="Segoe UI" w:hAnsi="Segoe UI"/>
          <w:b/>
          <w:i w:val="0"/>
          <w:color w:val="0F2942"/>
          <w:sz w:val="24"/>
        </w:rPr>
        <w:t>3. Reserve Tier Rule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Effective with this addendum, the compliance / claims reserve is calculated on a </w:t>
      </w:r>
      <w:r>
        <w:rPr>
          <w:rFonts w:ascii="Segoe UI" w:hAnsi="Segoe UI"/>
          <w:b/>
          <w:i w:val="0"/>
          <w:color w:val="0F172A"/>
          <w:sz w:val="20"/>
        </w:rPr>
        <w:t>spend-based tier</w:t>
      </w:r>
      <w:r>
        <w:rPr>
          <w:rFonts w:ascii="Segoe UI" w:hAnsi="Segoe UI"/>
          <w:b w:val="0"/>
          <w:i w:val="0"/>
          <w:color w:val="334155"/>
          <w:sz w:val="20"/>
        </w:rPr>
        <w:t xml:space="preserve"> that replaces any prior client-type-based reserve assumption:</w:t>
      </w:r>
    </w:p>
    <w:p>
      <w:pPr>
        <w:pStyle w:val="ListBullet"/>
        <w:spacing w:after="40" w:before="60" w:line="300" w:lineRule="auto"/>
        <w:ind w:left="360"/>
        <w:shd w:fill="F0F4F9"/>
        <w:pBdr>
          <w:left w:val="single" w:sz="18" w:space="10" w:color="0D9488"/>
        </w:pBdr>
      </w:pPr>
      <w:r>
        <w:rPr>
          <w:rFonts w:ascii="Segoe UI" w:hAnsi="Segoe UI"/>
          <w:b/>
          <w:i w:val="0"/>
          <w:color w:val="0F2942"/>
          <w:sz w:val="20"/>
        </w:rPr>
        <w:t>3% under $150,000</w:t>
      </w:r>
      <w:r>
        <w:rPr>
          <w:rFonts w:ascii="Segoe UI" w:hAnsi="Segoe UI"/>
          <w:b w:val="0"/>
          <w:i w:val="0"/>
          <w:color w:val="334155"/>
          <w:sz w:val="20"/>
        </w:rPr>
        <w:t xml:space="preserve"> Q4 managed spend</w:t>
      </w:r>
    </w:p>
    <w:p>
      <w:pPr>
        <w:pStyle w:val="ListBullet"/>
        <w:spacing w:after="120" w:before="40" w:line="300" w:lineRule="auto"/>
        <w:ind w:left="360"/>
        <w:shd w:fill="F0F4F9"/>
        <w:pBdr>
          <w:left w:val="single" w:sz="18" w:space="10" w:color="0D9488"/>
        </w:pBdr>
      </w:pPr>
      <w:r>
        <w:rPr>
          <w:rFonts w:ascii="Segoe UI" w:hAnsi="Segoe UI"/>
          <w:b/>
          <w:i w:val="0"/>
          <w:color w:val="0F2942"/>
          <w:sz w:val="20"/>
        </w:rPr>
        <w:t>5% at or above</w:t>
      </w:r>
      <w:r>
        <w:rPr>
          <w:rFonts w:ascii="Segoe UI" w:hAnsi="Segoe UI"/>
          <w:b w:val="0"/>
          <w:i w:val="0"/>
          <w:color w:val="334155"/>
          <w:sz w:val="20"/>
        </w:rPr>
        <w:t xml:space="preserve"> $150,000 Q4 managed spend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The tier applies to </w:t>
      </w:r>
      <w:r>
        <w:rPr>
          <w:rFonts w:ascii="Segoe UI" w:hAnsi="Segoe UI"/>
          <w:b/>
          <w:i w:val="0"/>
          <w:color w:val="0F172A"/>
          <w:sz w:val="20"/>
        </w:rPr>
        <w:t>all clients regardless of client type or regulated status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including diagnostics, instrumentation, reagents, software, and any other segment. The determining input is the client's Q4 managed spend as recorded in the standard Q4 managed-spend export; the client's industry classification, regulated-client flag in ERPNext, and origin (Thornfield native vs. Inherited — Bramwell) are not inputs to the tier calculation.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>This section supersedes any prior client-type-based reserve assumption in circulation from Bramwell or Thornfield — including, but not limited to, legacy memoranda that specified a flat reserve rate for diagnostics or other regulated-client segments. Where a legacy memo and this addendum conflict, this addendum governs. Marketing Operations will confirm the applicable tier at each quarter's close by referencing the managed-spend export against the $150,000 threshold; Finance will post the reserve at the applicable rate.</w:t>
      </w:r>
    </w:p>
    <w:p>
      <w:pPr>
        <w:spacing w:before="360" w:after="120" w:line="276" w:lineRule="auto"/>
        <w:pBdr>
          <w:bottom w:val="single" w:sz="14" w:space="4" w:color="1E56A0"/>
        </w:pBdr>
      </w:pPr>
      <w:r>
        <w:rPr>
          <w:rFonts w:ascii="Segoe UI" w:hAnsi="Segoe UI"/>
          <w:b/>
          <w:i w:val="0"/>
          <w:color w:val="0F2942"/>
          <w:sz w:val="24"/>
        </w:rPr>
        <w:t>4. Base Fee Reference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The standard </w:t>
      </w:r>
      <w:r>
        <w:rPr>
          <w:rFonts w:ascii="Segoe UI" w:hAnsi="Segoe UI"/>
          <w:b/>
          <w:i w:val="0"/>
          <w:color w:val="0F172A"/>
          <w:sz w:val="20"/>
        </w:rPr>
        <w:t>12% base</w:t>
      </w:r>
      <w:r>
        <w:rPr>
          <w:rFonts w:ascii="Segoe UI" w:hAnsi="Segoe UI"/>
          <w:b w:val="0"/>
          <w:i w:val="0"/>
          <w:color w:val="334155"/>
          <w:sz w:val="20"/>
        </w:rPr>
        <w:t xml:space="preserve"> management fee per the Thornfield Rate Card remains unchanged and continues to apply company-wide to ongoing managed-spend billing. Nothing in this addendum modifies the base fee, the multi-year discount schedule, the early-renewal incentive, or any other term of the Rate Card. The rebate in Section 2 is a credit applied after the base fee is calculated; the reserve in Section 3 is a separate compliance provision and is not netted against the fee.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>Legacy-account renewal rates (the separate schedule governing renewal pricing for inherited accounts) are unaffected by this addendum and continue to be maintained by the VP, Paid Media.</w:t>
      </w:r>
    </w:p>
    <w:p>
      <w:pPr>
        <w:spacing w:before="360" w:after="120" w:line="276" w:lineRule="auto"/>
        <w:pBdr>
          <w:bottom w:val="single" w:sz="14" w:space="4" w:color="1E56A0"/>
        </w:pBdr>
      </w:pPr>
      <w:r>
        <w:rPr>
          <w:rFonts w:ascii="Segoe UI" w:hAnsi="Segoe UI"/>
          <w:b/>
          <w:i w:val="0"/>
          <w:color w:val="0F2942"/>
          <w:sz w:val="24"/>
        </w:rPr>
        <w:t>5. Effective Date</w:t>
      </w:r>
    </w:p>
    <w:p>
      <w:pPr>
        <w:spacing w:before="0" w:after="160" w:line="300" w:lineRule="auto"/>
      </w:pPr>
      <w:r>
        <w:rPr>
          <w:rFonts w:ascii="Segoe UI" w:hAnsi="Segoe UI"/>
          <w:b w:val="0"/>
          <w:i w:val="0"/>
          <w:color w:val="334155"/>
          <w:sz w:val="20"/>
        </w:rPr>
        <w:t>09/01/2025 forward. Applies to all managed-spend billing and reserve calculations for quarters ending on or after that date. No retroactive application.</w:t>
      </w:r>
    </w:p>
    <w:p>
      <w:pPr>
        <w:spacing w:before="480" w:after="160" w:line="240" w:lineRule="auto"/>
      </w:pPr>
      <w:r>
        <w:rPr>
          <w:rFonts w:ascii="Segoe UI" w:hAnsi="Segoe UI"/>
          <w:b w:val="0"/>
          <w:i w:val="0"/>
          <w:color w:val="94A3B8"/>
          <w:sz w:val="16"/>
        </w:rPr>
        <w:t>________________________________</w:t>
      </w:r>
    </w:p>
    <w:p>
      <w:pPr>
        <w:spacing w:before="120" w:after="240" w:line="288" w:lineRule="auto"/>
        <w:shd w:fill="F8FAFC"/>
        <w:pBdr>
          <w:left w:val="single" w:sz="24" w:space="12" w:color="0F2942"/>
        </w:pBdr>
      </w:pPr>
      <w:r>
        <w:rPr>
          <w:rFonts w:ascii="Segoe UI" w:hAnsi="Segoe UI"/>
          <w:b/>
          <w:i w:val="0"/>
          <w:color w:val="0F2942"/>
          <w:sz w:val="19"/>
        </w:rPr>
        <w:t>Approved: Dana Whitfield, CEO — 08/02/2025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