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93" w:lineRule="auto"/>
        <w:pBdr>
          <w:top w:val="single" w:sz="24" w:space="10" w:color="1E3A8A"/>
        </w:pBdr>
      </w:pPr>
      <w:r>
        <w:rPr>
          <w:rFonts w:ascii="Segoe UI" w:hAnsi="Segoe UI"/>
          <w:b/>
          <w:color w:val="0284C7"/>
          <w:sz w:val="19"/>
        </w:rPr>
        <w:t>THORNFIELD LIFE SCIENCES MARKETING</w:t>
      </w:r>
    </w:p>
    <w:p>
      <w:pPr>
        <w:spacing w:before="80" w:after="280" w:line="293" w:lineRule="auto"/>
      </w:pPr>
      <w:r>
        <w:rPr>
          <w:rFonts w:ascii="Segoe UI" w:hAnsi="Segoe UI"/>
          <w:b/>
          <w:color w:val="0F172A"/>
          <w:sz w:val="44"/>
        </w:rPr>
        <w:t>MEMO — Bramwell Integration</w:t>
      </w:r>
    </w:p>
    <w:tbl>
      <w:tblPr>
        <w:tblW w:type="auto" w:w="0"/>
        <w:tblLayout w:type="fixed"/>
        <w:tblLook w:firstColumn="1" w:firstRow="1" w:lastColumn="0" w:lastRow="0" w:noHBand="0" w:noVBand="1" w:val="04A0"/>
      </w:tblPr>
      <w:tblGrid>
        <w:gridCol w:w="1584"/>
        <w:gridCol w:w="7776"/>
      </w:tblGrid>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Date:</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09/05/2025</w:t>
            </w:r>
          </w:p>
        </w:tc>
      </w:tr>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From:</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Marcus Oyelaran, Integration Advisor (former Bramwell Founder)</w:t>
            </w:r>
          </w:p>
        </w:tc>
      </w:tr>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To:</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Priya Ramaswamy (Marketing Operations Lead); Sofia Bergen (Director, Client Strategy); Alan Rutherford (Finance Director); Linh Vuong (Compliance &amp; Legal Counsel)</w:t>
            </w:r>
          </w:p>
        </w:tc>
      </w:tr>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Re:</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Bramwell Integration — Founder Transition &amp; Knowledge-Transfer</w:t>
            </w:r>
          </w:p>
        </w:tc>
      </w:tr>
    </w:tbl>
    <w:p>
      <w:pPr>
        <w:spacing w:before="0" w:after="200" w:line="293" w:lineRule="auto"/>
      </w:pPr>
      <w:r>
        <w:rPr>
          <w:rFonts w:ascii="Segoe UI" w:hAnsi="Segoe UI"/>
          <w:color w:val="64748B"/>
          <w:sz w:val="12"/>
        </w:rPr>
      </w:r>
    </w:p>
    <w:p>
      <w:pPr>
        <w:keepNext/>
        <w:spacing w:before="400" w:after="120" w:line="293" w:lineRule="auto"/>
        <w:pBdr>
          <w:bottom w:val="single" w:sz="10" w:space="6" w:color="0284C7"/>
        </w:pBdr>
      </w:pPr>
      <w:r>
        <w:rPr>
          <w:rFonts w:ascii="Segoe UI" w:hAnsi="Segoe UI"/>
          <w:b/>
          <w:color w:val="0F172A"/>
          <w:sz w:val="27"/>
        </w:rPr>
        <w:t>1. Role</w:t>
      </w:r>
    </w:p>
    <w:p>
      <w:pPr>
        <w:spacing w:before="0" w:after="150" w:line="293" w:lineRule="auto"/>
      </w:pPr>
      <w:r>
        <w:rPr>
          <w:rFonts w:ascii="Segoe UI" w:hAnsi="Segoe UI"/>
          <w:color w:val="334155"/>
          <w:sz w:val="20"/>
        </w:rPr>
        <w:t>With the close of the acquisition on 9/1/2025, my role at Thornfield is Integration Advisor. I no longer sign contracts, issue quotes, or hold client-services line ownership on Bramwell-origin accounts. My purpose over the integration period is to serve as a reference point for the institutional knowledge that was previously held only by me as Bramwell's founder — signed agreements, retainer histories, client relationships, and the compliance posture we developed on regulated work — and to hand each of those threads to the Thornfield owner now accountable for it. This memo is that handoff, in writing, so that the people copied above can operate against the record rather than against my memory.</w:t>
      </w:r>
    </w:p>
    <w:p>
      <w:pPr>
        <w:keepNext/>
        <w:spacing w:before="400" w:after="120" w:line="293" w:lineRule="auto"/>
        <w:pBdr>
          <w:bottom w:val="single" w:sz="10" w:space="6" w:color="0284C7"/>
        </w:pBdr>
      </w:pPr>
      <w:r>
        <w:rPr>
          <w:rFonts w:ascii="Segoe UI" w:hAnsi="Segoe UI"/>
          <w:b/>
          <w:color w:val="0F172A"/>
          <w:sz w:val="27"/>
        </w:rPr>
        <w:t>2. Legacy MSAs in Force</w:t>
      </w:r>
    </w:p>
    <w:p>
      <w:pPr>
        <w:spacing w:before="0" w:after="150" w:line="293" w:lineRule="auto"/>
      </w:pPr>
      <w:r>
        <w:rPr>
          <w:rFonts w:ascii="Segoe UI" w:hAnsi="Segoe UI"/>
          <w:color w:val="334155"/>
          <w:sz w:val="20"/>
        </w:rPr>
        <w:t>The following signed legacy Bramwell MSAs are active and on file in /Legal/Legacy_Bramwell/:</w:t>
      </w:r>
    </w:p>
    <w:p>
      <w:pPr>
        <w:pStyle w:val="ListBullet"/>
        <w:spacing w:before="50" w:after="90" w:line="293" w:lineRule="auto"/>
        <w:ind w:left="360" w:hanging="216"/>
      </w:pPr>
      <w:r>
        <w:rPr>
          <w:rFonts w:ascii="Segoe UI" w:hAnsi="Segoe UI"/>
          <w:b/>
          <w:color w:val="0F172A"/>
          <w:sz w:val="20"/>
        </w:rPr>
        <w:t>Fenwick Genomics — the executed Master Services Agreement is on file in /Legal/Legacy_Bramwell/: see FenwickGenomics_MSA_termination_clause.pdf for the full agreement terms and FenwickGenomics_MSA_signature_amendment_log.pdf for the signature page and amendment log. The agreement is recorded in ERPNext under Sales Order SO-2025-0417.</w:t>
      </w:r>
      <w:r>
        <w:rPr>
          <w:rFonts w:ascii="Segoe UI" w:hAnsi="Segoe UI"/>
          <w:color w:val="334155"/>
          <w:sz w:val="20"/>
        </w:rPr>
      </w:r>
    </w:p>
    <w:p>
      <w:pPr>
        <w:spacing w:before="0" w:after="150" w:line="293" w:lineRule="auto"/>
      </w:pPr>
      <w:r>
        <w:rPr>
          <w:rFonts w:ascii="Segoe UI" w:hAnsi="Segoe UI"/>
          <w:color w:val="334155"/>
          <w:sz w:val="20"/>
        </w:rPr>
        <w:t>No amendments have been executed against SO-2025-0417 since the original signing.</w:t>
      </w:r>
    </w:p>
    <w:p>
      <w:pPr>
        <w:spacing w:before="0" w:after="150" w:line="293" w:lineRule="auto"/>
      </w:pPr>
      <w:r>
        <w:rPr>
          <w:rFonts w:ascii="Segoe UI" w:hAnsi="Segoe UI"/>
          <w:color w:val="334155"/>
          <w:sz w:val="20"/>
        </w:rPr>
        <w:t>If a party (client-side or internal) proposes to extend, renew, restructure, or terminate the Fenwick engagement before 03/31/2026, that proposal is a new writing under the Agreement's amendment provisions and needs to route through Sofia (client-services owner) and Linh (legal) before anyone commits to it in email or on a call. I will be available to walk through the negotiating history behind any clause if that is useful, but I am not the signatory of record going forward and should not be treated as one.</w:t>
      </w:r>
    </w:p>
    <w:p>
      <w:pPr>
        <w:keepNext/>
        <w:spacing w:before="400" w:after="120" w:line="293" w:lineRule="auto"/>
        <w:pBdr>
          <w:bottom w:val="single" w:sz="10" w:space="6" w:color="0284C7"/>
        </w:pBdr>
      </w:pPr>
      <w:r>
        <w:rPr>
          <w:rFonts w:ascii="Segoe UI" w:hAnsi="Segoe UI"/>
          <w:b/>
          <w:color w:val="0F172A"/>
          <w:sz w:val="27"/>
        </w:rPr>
        <w:t>3. Other Legacy Relationships</w:t>
      </w:r>
    </w:p>
    <w:p>
      <w:pPr>
        <w:spacing w:before="0" w:after="150" w:line="293" w:lineRule="auto"/>
      </w:pPr>
      <w:r>
        <w:rPr>
          <w:rFonts w:ascii="Segoe UI" w:hAnsi="Segoe UI"/>
          <w:color w:val="334155"/>
          <w:sz w:val="20"/>
        </w:rPr>
        <w:t>The broader Bramwell-origin book is now under Sofia Bergen's client-services line, and the account-transition log she maintains is the running system of record. In brief:</w:t>
      </w:r>
    </w:p>
    <w:p>
      <w:pPr>
        <w:pStyle w:val="ListBullet"/>
        <w:spacing w:before="50" w:after="90" w:line="293" w:lineRule="auto"/>
        <w:ind w:left="360" w:hanging="216"/>
      </w:pPr>
      <w:r>
        <w:rPr>
          <w:rFonts w:ascii="Segoe UI" w:hAnsi="Segoe UI"/>
          <w:b/>
          <w:color w:val="0F172A"/>
          <w:sz w:val="20"/>
        </w:rPr>
        <w:t>Ashford Scientific Instruments (ERPNext CUST-2025-0142) — inherited-Bramwell account, VP Marketing Priyanka Shah is the client-side contact. Ashford is a large managed-spend relationship and will now bill under Thornfield's standard rate card and integration SOP. The client relationship history — how Ashford came to Bramwell, who at Ashford values what — I have walked through with Sofia in our transition sessions.</w:t>
      </w:r>
      <w:r>
        <w:rPr>
          <w:rFonts w:ascii="Segoe UI" w:hAnsi="Segoe UI"/>
          <w:color w:val="334155"/>
          <w:sz w:val="20"/>
        </w:rPr>
      </w:r>
    </w:p>
    <w:p>
      <w:pPr>
        <w:pStyle w:val="ListBullet"/>
        <w:spacing w:before="50" w:after="90" w:line="293" w:lineRule="auto"/>
        <w:ind w:left="360" w:hanging="216"/>
      </w:pPr>
      <w:r>
        <w:rPr>
          <w:rFonts w:ascii="Segoe UI" w:hAnsi="Segoe UI"/>
          <w:b/>
          <w:color w:val="0F172A"/>
          <w:sz w:val="20"/>
        </w:rPr>
        <w:t>Northlake Bioinstruments (ERPNext CUST-2025-0157) — inherited-Bramwell account; Q4 renewal completed. Ted Kowalczyk owns rate-card mechanics for this account going forward.</w:t>
      </w:r>
      <w:r>
        <w:rPr>
          <w:rFonts w:ascii="Segoe UI" w:hAnsi="Segoe UI"/>
          <w:color w:val="334155"/>
          <w:sz w:val="20"/>
        </w:rPr>
      </w:r>
    </w:p>
    <w:p>
      <w:pPr>
        <w:pStyle w:val="ListBullet"/>
        <w:spacing w:before="50" w:after="90" w:line="293" w:lineRule="auto"/>
        <w:ind w:left="360" w:hanging="216"/>
      </w:pPr>
      <w:r>
        <w:rPr>
          <w:rFonts w:ascii="Segoe UI" w:hAnsi="Segoe UI"/>
          <w:b/>
          <w:color w:val="0F172A"/>
          <w:sz w:val="20"/>
        </w:rPr>
        <w:t>Other Bramwell-origin clients</w:t>
      </w:r>
      <w:r>
        <w:rPr>
          <w:rFonts w:ascii="Segoe UI" w:hAnsi="Segoe UI"/>
          <w:color w:val="334155"/>
          <w:sz w:val="20"/>
        </w:rPr>
        <w:t xml:space="preserve"> — the remainder of the Bramwell book (regulated diagnostics/instrumentation accounts that formed the bulk of Bramwell's practice) has been mapped account-by-account into Sofia's transition log, with owner assignments recorded in the org chart she is circulating separately. For any of these accounts, please go to Sofia first; I will backstop her on institutional detail as needed but should not be the first stop.</w:t>
      </w:r>
    </w:p>
    <w:p>
      <w:pPr>
        <w:spacing w:before="0" w:after="150" w:line="293" w:lineRule="auto"/>
      </w:pPr>
      <w:r>
        <w:rPr>
          <w:rFonts w:ascii="Segoe UI" w:hAnsi="Segoe UI"/>
          <w:color w:val="334155"/>
          <w:sz w:val="20"/>
        </w:rPr>
        <w:t>I want to be direct that Sofia — not I — is the correct escalation for anything client-services-facing on the legacy book from 9/1/2025 forward. That includes renewal quotes, scope questions, and client-side introductions. Routing through me creates ambiguity about signing authority that we should not create.</w:t>
      </w:r>
    </w:p>
    <w:p>
      <w:pPr>
        <w:keepNext/>
        <w:spacing w:before="400" w:after="120" w:line="293" w:lineRule="auto"/>
        <w:pBdr>
          <w:bottom w:val="single" w:sz="10" w:space="6" w:color="0284C7"/>
        </w:pBdr>
      </w:pPr>
      <w:r>
        <w:rPr>
          <w:rFonts w:ascii="Segoe UI" w:hAnsi="Segoe UI"/>
          <w:b/>
          <w:color w:val="0F172A"/>
          <w:sz w:val="27"/>
        </w:rPr>
        <w:t>4. Knowledge-Transfer Handoffs</w:t>
      </w:r>
    </w:p>
    <w:p>
      <w:pPr>
        <w:spacing w:before="0" w:after="150" w:line="293" w:lineRule="auto"/>
      </w:pPr>
      <w:r>
        <w:rPr>
          <w:rFonts w:ascii="Segoe UI" w:hAnsi="Segoe UI"/>
          <w:color w:val="334155"/>
          <w:sz w:val="20"/>
        </w:rPr>
        <w:t>The compliance and claims-review posture that Bramwell developed on our regulated (diagnostics and instrumentation) clients — pre-publication legal review of comparative claims, sign-off logs kept per campaign, and a bias toward conservative language on efficacy and turnaround claims — has been transferred to Linh Vuong. Linh and I have walked through:</w:t>
      </w:r>
    </w:p>
    <w:p>
      <w:pPr>
        <w:pStyle w:val="ListBullet"/>
        <w:spacing w:before="50" w:after="90" w:line="293" w:lineRule="auto"/>
        <w:ind w:left="360" w:hanging="216"/>
      </w:pPr>
      <w:r>
        <w:rPr>
          <w:rFonts w:ascii="Segoe UI" w:hAnsi="Segoe UI"/>
          <w:color w:val="334155"/>
          <w:sz w:val="20"/>
        </w:rPr>
        <w:t>The regulated client roster (all Bramwell-origin diagnostics and instrumentation accounts, with the specific claim categories each has historically been sensitive to);</w:t>
      </w:r>
    </w:p>
    <w:p>
      <w:pPr>
        <w:pStyle w:val="ListBullet"/>
        <w:spacing w:before="50" w:after="90" w:line="293" w:lineRule="auto"/>
        <w:ind w:left="360" w:hanging="216"/>
      </w:pPr>
      <w:r>
        <w:rPr>
          <w:rFonts w:ascii="Segoe UI" w:hAnsi="Segoe UI"/>
          <w:color w:val="334155"/>
          <w:sz w:val="20"/>
        </w:rPr>
        <w:t>The internal review cadence Bramwell ran on creative deliverables before they shipped, including which claim types always went to counsel and which were reviewed at the account-team level;</w:t>
      </w:r>
    </w:p>
    <w:p>
      <w:pPr>
        <w:pStyle w:val="ListBullet"/>
        <w:spacing w:before="50" w:after="90" w:line="293" w:lineRule="auto"/>
        <w:ind w:left="360" w:hanging="216"/>
      </w:pPr>
      <w:r>
        <w:rPr>
          <w:rFonts w:ascii="Segoe UI" w:hAnsi="Segoe UI"/>
          <w:color w:val="334155"/>
          <w:sz w:val="20"/>
        </w:rPr>
        <w:t>The exceptions log — a small number of clients whose in-house regulatory function insists on parallel review — which Linh now maintains.</w:t>
      </w:r>
    </w:p>
    <w:p>
      <w:pPr>
        <w:spacing w:before="0" w:after="150" w:line="293" w:lineRule="auto"/>
      </w:pPr>
      <w:r>
        <w:rPr>
          <w:rFonts w:ascii="Segoe UI" w:hAnsi="Segoe UI"/>
          <w:color w:val="334155"/>
          <w:sz w:val="20"/>
        </w:rPr>
        <w:t>Going forward, Linh owns the Thornfield Compliance Reserve &amp; Claims-Review Policy and the sign-off log that evidences it. I have retained no parallel copy of the roster, and any request for a compliance decision on a Bramwell-origin regulated account should go to her.</w:t>
      </w:r>
    </w:p>
    <w:p>
      <w:pPr>
        <w:spacing w:before="0" w:after="150" w:line="293" w:lineRule="auto"/>
      </w:pPr>
      <w:r>
        <w:rPr>
          <w:rFonts w:ascii="Segoe UI" w:hAnsi="Segoe UI"/>
          <w:color w:val="334155"/>
          <w:sz w:val="20"/>
        </w:rPr>
        <w:t>On the finance side, Alan has the full Bramwell retainer and billing history for Fenwick (October, November, and December 2025 statements are queued to issue on Thornfield letterhead). On the operations side, Priya has the ERPNext customer-master mapping and the migration notes from the 8/25/2025 cutover.</w:t>
      </w:r>
    </w:p>
    <w:p>
      <w:pPr>
        <w:keepNext/>
        <w:spacing w:before="400" w:after="120" w:line="293" w:lineRule="auto"/>
        <w:pBdr>
          <w:bottom w:val="single" w:sz="10" w:space="6" w:color="0284C7"/>
        </w:pBdr>
      </w:pPr>
      <w:r>
        <w:rPr>
          <w:rFonts w:ascii="Segoe UI" w:hAnsi="Segoe UI"/>
          <w:b/>
          <w:color w:val="0F172A"/>
          <w:sz w:val="27"/>
        </w:rPr>
        <w:t>5. Continued Availability</w:t>
      </w:r>
    </w:p>
    <w:p>
      <w:pPr>
        <w:spacing w:before="0" w:after="150" w:line="293" w:lineRule="auto"/>
      </w:pPr>
      <w:r>
        <w:rPr>
          <w:rFonts w:ascii="Segoe UI" w:hAnsi="Segoe UI"/>
          <w:color w:val="334155"/>
          <w:sz w:val="20"/>
        </w:rPr>
        <w:t>I will be reachable through my Thornfield email (marcus.oyelaran@thornfieldlsm.com) and cell through the integration period. I am happy to be pulled into any conversation where Bramwell-era context would help avoid a misread of a signed instrument or a client relationship — the Fenwick MSA and the diagnostics-client posture being the two areas where that context matters most concretely. I would ask, though, that as decisions come up on legacy accounts, the four of you exercise your ownership directly and treat me as a consultative resource rather than a decision-maker. That is the cleanest way for the integration to land.</w:t>
      </w:r>
    </w:p>
    <w:p>
      <w:pPr>
        <w:spacing w:before="0" w:after="150" w:line="293" w:lineRule="auto"/>
      </w:pPr>
      <w:r>
        <w:rPr>
          <w:rFonts w:ascii="Segoe UI" w:hAnsi="Segoe UI"/>
          <w:color w:val="334155"/>
          <w:sz w:val="20"/>
        </w:rPr>
        <w:t>For agreement details, please consult the signed instruments on file with Legal.</w:t>
      </w:r>
    </w:p>
    <w:p>
      <w:pPr>
        <w:spacing w:before="440" w:after="240" w:line="293" w:lineRule="auto"/>
      </w:pPr>
      <w:r>
        <w:rPr>
          <w:rFonts w:ascii="Segoe UI" w:hAnsi="Segoe UI"/>
          <w:color w:val="CBD5E1"/>
          <w:sz w:val="18"/>
        </w:rPr>
        <w:t>________________________________________</w:t>
      </w:r>
    </w:p>
    <w:p>
      <w:pPr>
        <w:keepNext/>
        <w:spacing w:before="0" w:after="30" w:line="293" w:lineRule="auto"/>
      </w:pPr>
      <w:r>
        <w:rPr>
          <w:rFonts w:ascii="Segoe UI" w:hAnsi="Segoe UI"/>
          <w:b/>
          <w:color w:val="0F172A"/>
          <w:sz w:val="22"/>
        </w:rPr>
        <w:t>Marcus Oyelaran</w:t>
      </w:r>
    </w:p>
    <w:p>
      <w:pPr>
        <w:keepNext/>
        <w:spacing w:before="0" w:after="30" w:line="293" w:lineRule="auto"/>
      </w:pPr>
      <w:r>
        <w:rPr>
          <w:rFonts w:ascii="Segoe UI" w:hAnsi="Segoe UI"/>
          <w:i/>
          <w:color w:val="64748B"/>
          <w:sz w:val="20"/>
        </w:rPr>
        <w:t>Integration Advisor (former Bramwell Founder)</w:t>
      </w:r>
    </w:p>
    <w:p>
      <w:pPr>
        <w:keepNext/>
        <w:spacing w:before="0" w:after="30" w:line="293" w:lineRule="auto"/>
      </w:pPr>
      <w:r>
        <w:rPr>
          <w:rFonts w:ascii="Segoe UI" w:hAnsi="Segoe UI"/>
          <w:b/>
          <w:color w:val="1E3A8A"/>
          <w:sz w:val="20"/>
        </w:rPr>
        <w:t>Thornfield Life Sciences Marketing, Inc.</w:t>
      </w:r>
    </w:p>
    <w:p>
      <w:pPr>
        <w:spacing w:before="80" w:after="280" w:line="293" w:lineRule="auto"/>
      </w:pPr>
      <w:r>
        <w:rPr>
          <w:rFonts w:ascii="Segoe UI" w:hAnsi="Segoe UI"/>
          <w:color w:val="64748B"/>
          <w:sz w:val="19"/>
        </w:rPr>
        <w:t>Date: 09/05/2025</w:t>
      </w:r>
    </w:p>
    <w:p>
      <w:pPr>
        <w:spacing w:before="200" w:after="0" w:line="293" w:lineRule="auto"/>
      </w:pPr>
      <w:r>
        <w:rPr>
          <w:rFonts w:ascii="Segoe UI" w:hAnsi="Segoe UI"/>
          <w:i/>
          <w:color w:val="64748B"/>
          <w:sz w:val="18"/>
        </w:rPr>
        <w:t>cc: /MarketingOps/Integration/ file; Legal (Linh Vuong); Finance (Alan Rutherford)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